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9504" w14:textId="77777777" w:rsidR="00A31EBF" w:rsidRPr="00640270" w:rsidRDefault="00F34AC7">
      <w:pPr>
        <w:rPr>
          <w:rFonts w:ascii="TH SarabunPSK" w:hAnsi="TH SarabunPSK" w:cs="TH SarabunPSK"/>
          <w:b/>
          <w:bCs/>
          <w:sz w:val="28"/>
          <w:szCs w:val="28"/>
        </w:rPr>
      </w:pPr>
      <w:r w:rsidRPr="00640270">
        <w:rPr>
          <w:rFonts w:ascii="TH SarabunPSK" w:hAnsi="TH SarabunPSK" w:cs="TH SarabunPSK"/>
          <w:b/>
          <w:bCs/>
          <w:sz w:val="28"/>
          <w:szCs w:val="28"/>
          <w:cs/>
          <w:lang w:val="th-TH" w:bidi="th-TH"/>
        </w:rPr>
        <w:t>คำสำคัญ (</w:t>
      </w:r>
      <w:r w:rsidRPr="00640270">
        <w:rPr>
          <w:rFonts w:ascii="TH SarabunPSK" w:hAnsi="TH SarabunPSK" w:cs="TH SarabunPSK"/>
          <w:b/>
          <w:bCs/>
          <w:sz w:val="28"/>
          <w:szCs w:val="28"/>
        </w:rPr>
        <w:t>Keywords)</w:t>
      </w:r>
    </w:p>
    <w:p w14:paraId="1A328D67" w14:textId="74DD2072" w:rsidR="00F34AC7" w:rsidRPr="00E377A2" w:rsidRDefault="0069758D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</w:rPr>
        <w:tab/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เทคนิคการกำหนดคำสำคัญ (</w:t>
      </w:r>
      <w:r w:rsidRPr="00E377A2">
        <w:rPr>
          <w:rFonts w:ascii="TH SarabunPSK" w:hAnsi="TH SarabunPSK" w:cs="TH SarabunPSK"/>
          <w:sz w:val="28"/>
          <w:szCs w:val="28"/>
        </w:rPr>
        <w:t xml:space="preserve">Keywords)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ของบทความวิจัย เป็นส่วนสำคัญที่แสดงให้เห็นว่าบทความนั้นเกี่ยวกับอะไร เรื่องใด </w:t>
      </w:r>
      <w:r w:rsidR="00B15364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และบอก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ข้อค้นพบใหม่ ที่เป็นเครื่องมือดีเยี่ย</w:t>
      </w:r>
      <w:r w:rsidR="00082B27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มในการสืบค้นหา ดังนั้น หลัก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ในการกำหนดคำสำคัญสรุปได้ดังต่อไปนี้ </w:t>
      </w:r>
    </w:p>
    <w:p w14:paraId="559C05E2" w14:textId="74CBD4EC" w:rsidR="00A57009" w:rsidRPr="00E377A2" w:rsidRDefault="00F34AC7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69758D" w:rsidRPr="00E377A2">
        <w:rPr>
          <w:rFonts w:ascii="TH SarabunPSK" w:hAnsi="TH SarabunPSK" w:cs="TH SarabunPSK"/>
          <w:sz w:val="28"/>
          <w:szCs w:val="28"/>
        </w:rPr>
        <w:t xml:space="preserve">1. </w:t>
      </w:r>
      <w:proofErr w:type="gramStart"/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ดึงคำจากชื่อเรื่องของบทความวิชาการ</w:t>
      </w:r>
      <w:r w:rsidR="00A57009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</w:t>
      </w:r>
      <w:r w:rsidR="00E66696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อย่างน้อย</w:t>
      </w:r>
      <w:proofErr w:type="gramEnd"/>
      <w:r w:rsidR="00E66696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</w:t>
      </w:r>
      <w:r w:rsidR="00E66696" w:rsidRPr="00E377A2">
        <w:rPr>
          <w:rFonts w:ascii="TH SarabunPSK" w:hAnsi="TH SarabunPSK" w:cs="TH SarabunPSK"/>
          <w:sz w:val="28"/>
          <w:szCs w:val="28"/>
        </w:rPr>
        <w:t xml:space="preserve">2-3 </w:t>
      </w:r>
      <w:r w:rsidR="00E66696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คำสำคัญ ซึ่งควรดึงคำ แนวคิดที่ปรากฎในชื่อเรื่องเป็นคำหลัก อาจอยู่ต้นเรื่อง กลางเรื่อง ท้ายเรื่อง เป็นคำนาม คำศัพท์เฉพาะ กะทัดรัด สั้น เพื่อให้สามารถหาได้ง่ายในการสืบค้นแก่ผู้สนใจ</w:t>
      </w:r>
    </w:p>
    <w:p w14:paraId="38FDC186" w14:textId="7A246752" w:rsidR="0069758D" w:rsidRPr="00E377A2" w:rsidRDefault="00F34AC7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69758D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2.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เขียนคำที่เป็น เทคนิค วิธีการใหม่ๆ ที่ใช้ในการทำวิจัย และถูกค้นพบไม่ควรเกิน </w:t>
      </w:r>
      <w:r w:rsidRPr="00E377A2">
        <w:rPr>
          <w:rFonts w:ascii="TH SarabunPSK" w:hAnsi="TH SarabunPSK" w:cs="TH SarabunPSK"/>
          <w:sz w:val="28"/>
          <w:szCs w:val="28"/>
        </w:rPr>
        <w:t xml:space="preserve">4-5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คำ</w:t>
      </w:r>
    </w:p>
    <w:p w14:paraId="799F9503" w14:textId="3785FCD6" w:rsidR="0069758D" w:rsidRPr="00E377A2" w:rsidRDefault="00F34AC7" w:rsidP="008F0E9D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69758D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3. ควรเป็นคำสำคัญ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ศัพท์เฉพาะทางที่เห็นแล้วเข้าใจได้ทันทีว่างานวิจัยชิ้นนี้เกี่ยวกับอะไร </w:t>
      </w:r>
    </w:p>
    <w:p w14:paraId="4397F993" w14:textId="620C13E1" w:rsidR="008F0E9D" w:rsidRPr="00E377A2" w:rsidRDefault="008F0E9D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E66696" w:rsidRPr="00E377A2">
        <w:rPr>
          <w:rFonts w:ascii="TH SarabunPSK" w:hAnsi="TH SarabunPSK" w:cs="TH SarabunPSK"/>
          <w:sz w:val="28"/>
          <w:szCs w:val="28"/>
        </w:rPr>
        <w:t>4</w:t>
      </w:r>
      <w:r w:rsidR="0069758D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.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คำสำคัญ ควรชี้ชัดถึงเนื้อหาของบทความ เอื้อต่อการสืบค้นข้อมูล </w:t>
      </w:r>
      <w:r w:rsidR="002D1501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และ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เป็นคำนาม</w:t>
      </w:r>
    </w:p>
    <w:p w14:paraId="194920AA" w14:textId="77777777" w:rsidR="00B03F32" w:rsidRPr="00E377A2" w:rsidRDefault="00B03F32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</w:p>
    <w:p w14:paraId="2C6762DF" w14:textId="0A5AB068" w:rsidR="002D1501" w:rsidRPr="00E377A2" w:rsidRDefault="002D1501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ตัวอย่าง คำสำคัญบทความวิจัยที่ได้รับการตีพิมพ์</w:t>
      </w:r>
      <w:r w:rsidR="001D3A70"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ของนักวิจัยคณะศิลปศาสตร์</w:t>
      </w:r>
      <w:bookmarkStart w:id="0" w:name="_GoBack"/>
      <w:bookmarkEnd w:id="0"/>
    </w:p>
    <w:p w14:paraId="5BBD5B0C" w14:textId="77777777" w:rsidR="001D3A70" w:rsidRPr="00E377A2" w:rsidRDefault="001D3A70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</w:p>
    <w:p w14:paraId="542E3F7A" w14:textId="6B082237" w:rsidR="001D3A70" w:rsidRPr="00E377A2" w:rsidRDefault="001D3A70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ชื่อบทความ  </w:t>
      </w:r>
      <w:r w:rsidRPr="00E377A2">
        <w:rPr>
          <w:rFonts w:ascii="TH SarabunPSK" w:hAnsi="TH SarabunPSK" w:cs="TH SarabunPSK"/>
          <w:sz w:val="28"/>
          <w:szCs w:val="28"/>
        </w:rPr>
        <w:t xml:space="preserve">Performance study of Micro Hydro Turbine and PV for electricity generator, case study: </w:t>
      </w:r>
      <w:proofErr w:type="spellStart"/>
      <w:r w:rsidRPr="00E377A2">
        <w:rPr>
          <w:rFonts w:ascii="TH SarabunPSK" w:hAnsi="TH SarabunPSK" w:cs="TH SarabunPSK"/>
          <w:sz w:val="28"/>
          <w:szCs w:val="28"/>
        </w:rPr>
        <w:t>Bunnasopit</w:t>
      </w:r>
      <w:proofErr w:type="spellEnd"/>
      <w:r w:rsidR="00806436" w:rsidRPr="00E377A2">
        <w:rPr>
          <w:rFonts w:ascii="TH SarabunPSK" w:hAnsi="TH SarabunPSK" w:cs="TH SarabunPSK"/>
          <w:sz w:val="28"/>
          <w:szCs w:val="28"/>
        </w:rPr>
        <w:t xml:space="preserve"> School, Nan Province, Thailand</w:t>
      </w:r>
    </w:p>
    <w:p w14:paraId="1548D39D" w14:textId="2F4F5694" w:rsidR="002D1501" w:rsidRPr="00E377A2" w:rsidRDefault="00806436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โดย ผศ.ดร.พิมพ์นภัส เอี่ยมสมบูรณ์</w:t>
      </w:r>
    </w:p>
    <w:p w14:paraId="3215988F" w14:textId="3794CE3B" w:rsidR="00806436" w:rsidRPr="00E377A2" w:rsidRDefault="00806436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Keywords: homer program, hybrid generation systems, break even point</w:t>
      </w:r>
    </w:p>
    <w:p w14:paraId="018A741B" w14:textId="409FC5C9" w:rsidR="00806436" w:rsidRPr="00E377A2" w:rsidRDefault="00806436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proofErr w:type="spellStart"/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Source</w:t>
      </w:r>
      <w:proofErr w:type="spellEnd"/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: </w:t>
      </w:r>
      <w:proofErr w:type="spellStart"/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Energy</w:t>
      </w:r>
      <w:proofErr w:type="spellEnd"/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</w:t>
      </w:r>
      <w:proofErr w:type="spellStart"/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procedia</w:t>
      </w:r>
      <w:proofErr w:type="spellEnd"/>
      <w:r w:rsidR="00E377A2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34 (2013)</w:t>
      </w:r>
      <w:r w:rsidR="00E377A2">
        <w:rPr>
          <w:rFonts w:ascii="TH SarabunPSK" w:hAnsi="TH SarabunPSK" w:cs="TH SarabunPSK"/>
          <w:sz w:val="28"/>
          <w:szCs w:val="28"/>
          <w:lang w:bidi="th-TH"/>
        </w:rPr>
        <w:t>: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235-242</w:t>
      </w:r>
    </w:p>
    <w:p w14:paraId="11B9466F" w14:textId="77777777" w:rsidR="00806436" w:rsidRPr="00E377A2" w:rsidRDefault="00CC58AA" w:rsidP="002D1501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</w:rPr>
        <w:t xml:space="preserve"> </w:t>
      </w:r>
    </w:p>
    <w:p w14:paraId="66E40627" w14:textId="0ECB094C" w:rsidR="005F1BBD" w:rsidRPr="00E377A2" w:rsidRDefault="005F1BBD" w:rsidP="002D1501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ชื่อบทความ</w:t>
      </w:r>
      <w:r w:rsidR="00E377A2">
        <w:rPr>
          <w:rFonts w:ascii="TH SarabunPSK" w:hAnsi="TH SarabunPSK" w:cs="TH SarabunPSK" w:hint="cs"/>
          <w:sz w:val="28"/>
          <w:szCs w:val="28"/>
          <w:cs/>
          <w:lang w:bidi="th-TH"/>
        </w:rPr>
        <w:t>วิจัย</w:t>
      </w:r>
      <w:r w:rsidR="00E377A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377A2">
        <w:rPr>
          <w:rFonts w:ascii="TH SarabunPSK" w:hAnsi="TH SarabunPSK" w:cs="TH SarabunPSK"/>
          <w:sz w:val="28"/>
          <w:szCs w:val="28"/>
        </w:rPr>
        <w:t xml:space="preserve"> </w:t>
      </w:r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การศึกษาความเข้าใจในการฟังภาษาไทยของนักศึกษาปริญญาตรี</w:t>
      </w:r>
    </w:p>
    <w:p w14:paraId="54CD0625" w14:textId="1B229710" w:rsidR="005F1BBD" w:rsidRPr="00E377A2" w:rsidRDefault="005F1BBD" w:rsidP="002D1501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โดย ดร</w:t>
      </w:r>
      <w:r w:rsidRPr="00E377A2">
        <w:rPr>
          <w:rFonts w:ascii="TH SarabunPSK" w:hAnsi="TH SarabunPSK" w:cs="TH SarabunPSK"/>
          <w:sz w:val="28"/>
          <w:szCs w:val="28"/>
        </w:rPr>
        <w:t>.</w:t>
      </w:r>
      <w:proofErr w:type="spellStart"/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จิรวัฒน์</w:t>
      </w:r>
      <w:proofErr w:type="spellEnd"/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 xml:space="preserve">  เพชรรัตน์</w:t>
      </w:r>
    </w:p>
    <w:p w14:paraId="0A37D63D" w14:textId="2F4C3CC7" w:rsidR="005F1BBD" w:rsidRPr="00E377A2" w:rsidRDefault="005F1BBD" w:rsidP="002D1501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คำสำคัญ</w:t>
      </w:r>
      <w:r w:rsidRPr="00E377A2">
        <w:rPr>
          <w:rFonts w:ascii="TH SarabunPSK" w:hAnsi="TH SarabunPSK" w:cs="TH SarabunPSK"/>
          <w:sz w:val="28"/>
          <w:szCs w:val="28"/>
        </w:rPr>
        <w:tab/>
      </w:r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การฟังภาษาไทย  ระดับฟังคำ  ระดับตีความหมาย ระดับมีวิจารณญาณ</w:t>
      </w:r>
    </w:p>
    <w:p w14:paraId="1909FD6F" w14:textId="4FE800E8" w:rsidR="005F1BBD" w:rsidRPr="00E377A2" w:rsidRDefault="005F1BBD" w:rsidP="002D1501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  <w:cs/>
          <w:lang w:bidi="th-TH"/>
        </w:rPr>
        <w:t>ที่มา</w:t>
      </w:r>
      <w:r w:rsidRPr="00E377A2">
        <w:rPr>
          <w:rFonts w:ascii="TH SarabunPSK" w:hAnsi="TH SarabunPSK" w:cs="TH SarabunPSK"/>
          <w:sz w:val="28"/>
          <w:szCs w:val="28"/>
        </w:rPr>
        <w:t xml:space="preserve">: 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วารสารมนุษยศาสตร์ มหาวิทยาลัยนเรศวร ปีที่ </w:t>
      </w:r>
      <w:r w:rsidRPr="00E377A2">
        <w:rPr>
          <w:rFonts w:ascii="TH SarabunPSK" w:hAnsi="TH SarabunPSK" w:cs="TH SarabunPSK"/>
          <w:sz w:val="28"/>
          <w:szCs w:val="28"/>
        </w:rPr>
        <w:t xml:space="preserve">10 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ฉบับที่ </w:t>
      </w:r>
      <w:r w:rsidRPr="00E377A2">
        <w:rPr>
          <w:rFonts w:ascii="TH SarabunPSK" w:hAnsi="TH SarabunPSK" w:cs="TH SarabunPSK"/>
          <w:sz w:val="28"/>
          <w:szCs w:val="28"/>
        </w:rPr>
        <w:t xml:space="preserve">2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เมษายน </w:t>
      </w:r>
      <w:r w:rsidRPr="00E377A2">
        <w:rPr>
          <w:rFonts w:ascii="TH SarabunPSK" w:hAnsi="TH SarabunPSK" w:cs="TH SarabunPSK"/>
          <w:sz w:val="28"/>
          <w:szCs w:val="28"/>
        </w:rPr>
        <w:t xml:space="preserve">- </w:t>
      </w: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สิงหาคม </w:t>
      </w:r>
      <w:r w:rsidRPr="00E377A2">
        <w:rPr>
          <w:rFonts w:ascii="TH SarabunPSK" w:hAnsi="TH SarabunPSK" w:cs="TH SarabunPSK"/>
          <w:sz w:val="28"/>
          <w:szCs w:val="28"/>
        </w:rPr>
        <w:t>2556</w:t>
      </w:r>
    </w:p>
    <w:p w14:paraId="58852DEA" w14:textId="77777777" w:rsidR="00E237D2" w:rsidRPr="00E377A2" w:rsidRDefault="00E237D2" w:rsidP="002D1501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</w:p>
    <w:p w14:paraId="1277A76A" w14:textId="0311AF78" w:rsidR="005F1BBD" w:rsidRPr="00E377A2" w:rsidRDefault="00E237D2" w:rsidP="002D1501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ตัวอย่างคำสำคัญบทความวิจัยที่ได้รับการตีพิมพ์ของนักวิจัยจากหน่วยงานอื่นๆ</w:t>
      </w:r>
    </w:p>
    <w:p w14:paraId="1E6AA544" w14:textId="135E4CE6" w:rsidR="002D1501" w:rsidRPr="00E377A2" w:rsidRDefault="005F1BBD" w:rsidP="002D1501">
      <w:pPr>
        <w:rPr>
          <w:rFonts w:ascii="TH SarabunPSK" w:hAnsi="TH SarabunPSK" w:cs="TH SarabunPSK"/>
          <w:sz w:val="28"/>
          <w:szCs w:val="28"/>
          <w:u w:val="single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ชื่อบทความ  </w:t>
      </w:r>
      <w:r w:rsidR="002D1501" w:rsidRPr="00E377A2">
        <w:rPr>
          <w:rFonts w:ascii="TH SarabunPSK" w:hAnsi="TH SarabunPSK" w:cs="TH SarabunPSK"/>
          <w:sz w:val="28"/>
          <w:szCs w:val="28"/>
        </w:rPr>
        <w:t xml:space="preserve">Transformational – Transactional </w:t>
      </w:r>
      <w:r w:rsidR="002D1501" w:rsidRPr="00E377A2">
        <w:rPr>
          <w:rFonts w:ascii="TH SarabunPSK" w:hAnsi="TH SarabunPSK" w:cs="TH SarabunPSK"/>
          <w:sz w:val="28"/>
          <w:szCs w:val="28"/>
          <w:u w:val="single"/>
        </w:rPr>
        <w:t>Leadership Styles</w:t>
      </w:r>
      <w:r w:rsidR="002D1501" w:rsidRPr="00E377A2">
        <w:rPr>
          <w:rFonts w:ascii="TH SarabunPSK" w:hAnsi="TH SarabunPSK" w:cs="TH SarabunPSK"/>
          <w:sz w:val="28"/>
          <w:szCs w:val="28"/>
        </w:rPr>
        <w:t xml:space="preserve"> and Followers’ </w:t>
      </w:r>
      <w:r w:rsidR="002D1501" w:rsidRPr="00E377A2">
        <w:rPr>
          <w:rFonts w:ascii="TH SarabunPSK" w:hAnsi="TH SarabunPSK" w:cs="TH SarabunPSK"/>
          <w:sz w:val="28"/>
          <w:szCs w:val="28"/>
          <w:u w:val="single"/>
        </w:rPr>
        <w:t>Regulatory Focus Fit</w:t>
      </w:r>
      <w:r w:rsidR="002D1501" w:rsidRPr="00E377A2">
        <w:rPr>
          <w:rFonts w:ascii="TH SarabunPSK" w:hAnsi="TH SarabunPSK" w:cs="TH SarabunPSK"/>
          <w:sz w:val="28"/>
          <w:szCs w:val="28"/>
        </w:rPr>
        <w:t xml:space="preserve"> Reduces Followers’ </w:t>
      </w:r>
      <w:r w:rsidR="002D1501" w:rsidRPr="00E377A2">
        <w:rPr>
          <w:rFonts w:ascii="TH SarabunPSK" w:hAnsi="TH SarabunPSK" w:cs="TH SarabunPSK"/>
          <w:sz w:val="28"/>
          <w:szCs w:val="28"/>
          <w:u w:val="single"/>
        </w:rPr>
        <w:t>Turnover Intentions</w:t>
      </w:r>
    </w:p>
    <w:p w14:paraId="7C52D57A" w14:textId="77777777" w:rsidR="002D1501" w:rsidRPr="00E377A2" w:rsidRDefault="002D1501" w:rsidP="002D1501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</w:rPr>
        <w:t>Keywords: regulatory fit, regulatory focus, leadership styles, turnover intentions</w:t>
      </w:r>
    </w:p>
    <w:p w14:paraId="46AC8BB4" w14:textId="77777777" w:rsidR="002D1501" w:rsidRPr="00E377A2" w:rsidRDefault="002D1501" w:rsidP="002D1501">
      <w:pPr>
        <w:rPr>
          <w:rFonts w:ascii="TH SarabunPSK" w:hAnsi="TH SarabunPSK" w:cs="TH SarabunPSK"/>
          <w:sz w:val="28"/>
          <w:szCs w:val="28"/>
        </w:rPr>
      </w:pPr>
      <w:proofErr w:type="gramStart"/>
      <w:r w:rsidRPr="00E377A2">
        <w:rPr>
          <w:rFonts w:ascii="TH SarabunPSK" w:eastAsia="Times New Roman" w:hAnsi="TH SarabunPSK" w:cs="TH SarabunPSK"/>
          <w:sz w:val="28"/>
          <w:szCs w:val="28"/>
        </w:rPr>
        <w:t>Source :</w:t>
      </w:r>
      <w:proofErr w:type="gram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Journal of Personnel Psychology (2011), 10, pp. 182-186. DOI: 10.1027/1866-5888/a000043.© 2011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Hogrefe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Publishing.</w:t>
      </w:r>
    </w:p>
    <w:p w14:paraId="6478560D" w14:textId="77777777" w:rsidR="002D1501" w:rsidRPr="00E377A2" w:rsidRDefault="002D1501" w:rsidP="002D1501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</w:p>
    <w:p w14:paraId="0CD71C5E" w14:textId="057DC7B5" w:rsidR="00CC58AA" w:rsidRPr="00E377A2" w:rsidRDefault="00E237D2" w:rsidP="00CC58AA">
      <w:pPr>
        <w:outlineLvl w:val="0"/>
        <w:rPr>
          <w:rFonts w:ascii="TH SarabunPSK" w:eastAsia="Times New Roman" w:hAnsi="TH SarabunPSK" w:cs="TH SarabunPSK"/>
          <w:bCs/>
          <w:kern w:val="36"/>
          <w:sz w:val="28"/>
          <w:szCs w:val="28"/>
        </w:rPr>
      </w:pPr>
      <w:r w:rsidRPr="00E377A2">
        <w:rPr>
          <w:rFonts w:ascii="TH SarabunPSK" w:eastAsia="Times New Roman" w:hAnsi="TH SarabunPSK" w:cs="TH SarabunPSK"/>
          <w:bCs/>
          <w:kern w:val="36"/>
          <w:sz w:val="28"/>
          <w:szCs w:val="28"/>
          <w:cs/>
          <w:lang w:val="th-TH" w:bidi="th-TH"/>
        </w:rPr>
        <w:t>ชื่อบทความ</w:t>
      </w:r>
      <w:r w:rsidR="00C2416E" w:rsidRPr="00E377A2">
        <w:rPr>
          <w:rFonts w:ascii="TH SarabunPSK" w:eastAsia="Times New Roman" w:hAnsi="TH SarabunPSK" w:cs="TH SarabunPSK"/>
          <w:bCs/>
          <w:kern w:val="36"/>
          <w:sz w:val="28"/>
          <w:szCs w:val="28"/>
        </w:rPr>
        <w:t xml:space="preserve"> (Q1)</w:t>
      </w:r>
    </w:p>
    <w:p w14:paraId="099BB6EB" w14:textId="3367EB6F" w:rsidR="00CC58AA" w:rsidRPr="00E377A2" w:rsidRDefault="00CC58AA" w:rsidP="00CC58AA">
      <w:pPr>
        <w:outlineLvl w:val="0"/>
        <w:rPr>
          <w:rFonts w:ascii="TH SarabunPSK" w:eastAsia="Times New Roman" w:hAnsi="TH SarabunPSK" w:cs="TH SarabunPSK"/>
          <w:bCs/>
          <w:kern w:val="36"/>
          <w:sz w:val="28"/>
          <w:szCs w:val="28"/>
        </w:rPr>
      </w:pPr>
      <w:r w:rsidRPr="00E377A2">
        <w:rPr>
          <w:rFonts w:ascii="TH SarabunPSK" w:eastAsia="Times New Roman" w:hAnsi="TH SarabunPSK" w:cs="TH SarabunPSK"/>
          <w:bCs/>
          <w:kern w:val="36"/>
          <w:sz w:val="28"/>
          <w:szCs w:val="28"/>
        </w:rPr>
        <w:t xml:space="preserve">Predictors of Self-Rated Health: Does Education Play a Role Above and Beyond Age? </w:t>
      </w:r>
    </w:p>
    <w:p w14:paraId="35C50733" w14:textId="3AF8C1F6" w:rsidR="00CC58AA" w:rsidRPr="00E377A2" w:rsidRDefault="00CC58AA" w:rsidP="00CC58AA">
      <w:pPr>
        <w:outlineLvl w:val="0"/>
        <w:rPr>
          <w:rFonts w:ascii="TH SarabunPSK" w:eastAsia="Times New Roman" w:hAnsi="TH SarabunPSK" w:cs="TH SarabunPSK"/>
          <w:bCs/>
          <w:kern w:val="36"/>
          <w:sz w:val="28"/>
          <w:szCs w:val="28"/>
        </w:rPr>
      </w:pPr>
      <w:r w:rsidRPr="00E377A2">
        <w:rPr>
          <w:rFonts w:ascii="TH SarabunPSK" w:eastAsia="Times New Roman" w:hAnsi="TH SarabunPSK" w:cs="TH SarabunPSK"/>
          <w:bCs/>
          <w:kern w:val="36"/>
          <w:sz w:val="28"/>
          <w:szCs w:val="28"/>
        </w:rPr>
        <w:t>Keywords: Aging, Education, Longitudinal, Self-rated health, Subjective well-being</w:t>
      </w:r>
    </w:p>
    <w:p w14:paraId="384E6740" w14:textId="0997E0B5" w:rsidR="00F34AC7" w:rsidRPr="00E377A2" w:rsidRDefault="00CC58AA" w:rsidP="00CC58AA">
      <w:pPr>
        <w:rPr>
          <w:rFonts w:ascii="TH SarabunPSK" w:eastAsia="Times New Roman" w:hAnsi="TH SarabunPSK" w:cs="TH SarabunPSK"/>
          <w:sz w:val="28"/>
          <w:szCs w:val="28"/>
        </w:rPr>
      </w:pPr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Source: J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Gerontol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B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Psychol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Sci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Soc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Sci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(2017) 72 (3): 415-424.</w:t>
      </w:r>
    </w:p>
    <w:p w14:paraId="6232B624" w14:textId="77777777" w:rsidR="00B15364" w:rsidRPr="00E377A2" w:rsidRDefault="00C2416E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</w:t>
      </w:r>
    </w:p>
    <w:p w14:paraId="229424D8" w14:textId="50B929F9" w:rsidR="00CC58AA" w:rsidRPr="00E377A2" w:rsidRDefault="00E237D2" w:rsidP="00B15364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  <w:cs/>
          <w:lang w:val="th-TH" w:bidi="th-TH"/>
        </w:rPr>
        <w:t>ชื่อบทความ</w:t>
      </w:r>
      <w:r w:rsidR="00C2416E" w:rsidRPr="00E377A2">
        <w:rPr>
          <w:rFonts w:ascii="TH SarabunPSK" w:hAnsi="TH SarabunPSK" w:cs="TH SarabunPSK"/>
          <w:sz w:val="28"/>
          <w:szCs w:val="28"/>
        </w:rPr>
        <w:t xml:space="preserve"> (TC</w:t>
      </w:r>
      <w:r w:rsidR="00E377A2">
        <w:rPr>
          <w:rFonts w:ascii="TH SarabunPSK" w:hAnsi="TH SarabunPSK" w:cs="TH SarabunPSK"/>
          <w:sz w:val="28"/>
          <w:szCs w:val="28"/>
        </w:rPr>
        <w:t>I</w:t>
      </w:r>
      <w:r w:rsidR="00C2416E" w:rsidRPr="00E377A2">
        <w:rPr>
          <w:rFonts w:ascii="TH SarabunPSK" w:hAnsi="TH SarabunPSK" w:cs="TH SarabunPSK"/>
          <w:sz w:val="28"/>
          <w:szCs w:val="28"/>
        </w:rPr>
        <w:t>1)</w:t>
      </w:r>
    </w:p>
    <w:p w14:paraId="00E2D85B" w14:textId="2D32F02A" w:rsidR="00B15364" w:rsidRPr="00E377A2" w:rsidRDefault="00C2416E" w:rsidP="00B15364">
      <w:pPr>
        <w:pStyle w:val="Heading3"/>
        <w:spacing w:before="0"/>
        <w:rPr>
          <w:rFonts w:ascii="TH SarabunPSK" w:eastAsia="Times New Roman" w:hAnsi="TH SarabunPSK" w:cs="TH SarabunPSK"/>
          <w:b w:val="0"/>
          <w:color w:val="auto"/>
          <w:sz w:val="28"/>
          <w:szCs w:val="28"/>
        </w:rPr>
      </w:pPr>
      <w:r w:rsidRPr="00E377A2">
        <w:rPr>
          <w:rFonts w:ascii="TH SarabunPSK" w:eastAsia="Times New Roman" w:hAnsi="TH SarabunPSK" w:cs="TH SarabunPSK"/>
          <w:b w:val="0"/>
          <w:bCs w:val="0"/>
          <w:color w:val="auto"/>
          <w:sz w:val="28"/>
          <w:szCs w:val="28"/>
          <w:cs/>
          <w:lang w:bidi="th-TH"/>
        </w:rPr>
        <w:t xml:space="preserve">การเปรียบเทียบภาษาและวัฒนธรรมไทยกับเกาหลี </w:t>
      </w:r>
      <w:r w:rsidR="00B15364" w:rsidRPr="00E377A2">
        <w:rPr>
          <w:rFonts w:ascii="TH SarabunPSK" w:eastAsia="Times New Roman" w:hAnsi="TH SarabunPSK" w:cs="TH SarabunPSK"/>
          <w:b w:val="0"/>
          <w:color w:val="auto"/>
          <w:sz w:val="28"/>
          <w:szCs w:val="28"/>
        </w:rPr>
        <w:t xml:space="preserve">: </w:t>
      </w:r>
      <w:r w:rsidRPr="00E377A2">
        <w:rPr>
          <w:rFonts w:ascii="TH SarabunPSK" w:eastAsia="Times New Roman" w:hAnsi="TH SarabunPSK" w:cs="TH SarabunPSK"/>
          <w:b w:val="0"/>
          <w:color w:val="auto"/>
          <w:sz w:val="28"/>
          <w:szCs w:val="28"/>
        </w:rPr>
        <w:t xml:space="preserve">A </w:t>
      </w:r>
      <w:r w:rsidR="00B15364" w:rsidRPr="00E377A2">
        <w:rPr>
          <w:rFonts w:ascii="TH SarabunPSK" w:eastAsia="Times New Roman" w:hAnsi="TH SarabunPSK" w:cs="TH SarabunPSK"/>
          <w:b w:val="0"/>
          <w:color w:val="auto"/>
          <w:sz w:val="28"/>
          <w:szCs w:val="28"/>
        </w:rPr>
        <w:t>comparative study on linguistic culture of Korean and Thai</w:t>
      </w:r>
    </w:p>
    <w:p w14:paraId="48E264ED" w14:textId="76E680FB" w:rsidR="00C2416E" w:rsidRPr="00E377A2" w:rsidRDefault="00C2416E" w:rsidP="00C2416E">
      <w:pPr>
        <w:rPr>
          <w:rFonts w:ascii="TH SarabunPSK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</w:rPr>
        <w:t xml:space="preserve">Keywords: </w:t>
      </w:r>
      <w:r w:rsidRPr="00E377A2">
        <w:rPr>
          <w:rFonts w:ascii="TH SarabunPSK" w:eastAsia="Times New Roman" w:hAnsi="TH SarabunPSK" w:cs="TH SarabunPSK"/>
          <w:sz w:val="28"/>
          <w:szCs w:val="28"/>
        </w:rPr>
        <w:t>Korean language, Thai language, linguistic culture, language and culture, Thai linguistic culture, Korean linguistic culture</w:t>
      </w:r>
    </w:p>
    <w:p w14:paraId="6BF386FE" w14:textId="77777777" w:rsidR="00C2416E" w:rsidRPr="00E377A2" w:rsidRDefault="00C2416E">
      <w:pPr>
        <w:rPr>
          <w:rFonts w:ascii="TH SarabunPSK" w:hAnsi="TH SarabunPSK" w:cs="TH SarabunPSK"/>
          <w:sz w:val="28"/>
          <w:szCs w:val="28"/>
        </w:rPr>
      </w:pPr>
    </w:p>
    <w:p w14:paraId="61A5EFDD" w14:textId="3B4BF49A" w:rsidR="00C2416E" w:rsidRPr="00E377A2" w:rsidRDefault="00C2416E">
      <w:pPr>
        <w:rPr>
          <w:rFonts w:ascii="TH SarabunPSK" w:eastAsia="Times New Roman" w:hAnsi="TH SarabunPSK" w:cs="TH SarabunPSK"/>
          <w:sz w:val="28"/>
          <w:szCs w:val="28"/>
        </w:rPr>
      </w:pPr>
      <w:r w:rsidRPr="00E377A2">
        <w:rPr>
          <w:rFonts w:ascii="TH SarabunPSK" w:hAnsi="TH SarabunPSK" w:cs="TH SarabunPSK"/>
          <w:sz w:val="28"/>
          <w:szCs w:val="28"/>
        </w:rPr>
        <w:t xml:space="preserve">Source: </w:t>
      </w:r>
      <w:hyperlink r:id="rId5" w:history="1">
        <w:proofErr w:type="spellStart"/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</w:rPr>
          <w:t>Vol</w:t>
        </w:r>
        <w:proofErr w:type="spellEnd"/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</w:rPr>
          <w:t xml:space="preserve"> 6, No 11 (2014): </w:t>
        </w:r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  <w:cs/>
            <w:lang w:bidi="th-TH"/>
          </w:rPr>
          <w:t>วารสารศรีนครินทรวิ</w:t>
        </w:r>
        <w:proofErr w:type="spellStart"/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  <w:cs/>
            <w:lang w:bidi="th-TH"/>
          </w:rPr>
          <w:t>โรฒ</w:t>
        </w:r>
        <w:proofErr w:type="spellEnd"/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  <w:cs/>
            <w:lang w:bidi="th-TH"/>
          </w:rPr>
          <w:t xml:space="preserve">วิจัยและพัฒนา </w:t>
        </w:r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</w:rPr>
          <w:t>(</w:t>
        </w:r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  <w:cs/>
            <w:lang w:bidi="th-TH"/>
          </w:rPr>
          <w:t>สาขามนุษยศาสตร์และสังคมศาสตร์</w:t>
        </w:r>
        <w:r w:rsidRPr="00E377A2">
          <w:rPr>
            <w:rStyle w:val="Hyperlink"/>
            <w:rFonts w:ascii="TH SarabunPSK" w:eastAsia="Times New Roman" w:hAnsi="TH SarabunPSK" w:cs="TH SarabunPSK"/>
            <w:color w:val="auto"/>
            <w:sz w:val="28"/>
            <w:szCs w:val="28"/>
            <w:u w:val="none"/>
          </w:rPr>
          <w:t>)</w:t>
        </w:r>
      </w:hyperlink>
    </w:p>
    <w:p w14:paraId="5B643D50" w14:textId="77777777" w:rsidR="008C07E0" w:rsidRPr="00E377A2" w:rsidRDefault="008C07E0">
      <w:pPr>
        <w:rPr>
          <w:rFonts w:ascii="TH SarabunPSK" w:eastAsia="Times New Roman" w:hAnsi="TH SarabunPSK" w:cs="TH SarabunPSK"/>
          <w:sz w:val="28"/>
          <w:szCs w:val="28"/>
        </w:rPr>
      </w:pPr>
    </w:p>
    <w:p w14:paraId="2F9115EF" w14:textId="619CA029" w:rsidR="008C07E0" w:rsidRPr="00E377A2" w:rsidRDefault="00E237D2" w:rsidP="00B15364">
      <w:pPr>
        <w:rPr>
          <w:rFonts w:ascii="TH SarabunPSK" w:eastAsia="Times New Roman" w:hAnsi="TH SarabunPSK" w:cs="TH SarabunPSK"/>
          <w:sz w:val="28"/>
          <w:szCs w:val="28"/>
        </w:rPr>
      </w:pPr>
      <w:r w:rsidRPr="00E377A2">
        <w:rPr>
          <w:rFonts w:ascii="TH SarabunPSK" w:eastAsia="Times New Roman" w:hAnsi="TH SarabunPSK" w:cs="TH SarabunPSK"/>
          <w:sz w:val="28"/>
          <w:szCs w:val="28"/>
          <w:cs/>
          <w:lang w:val="th-TH" w:bidi="th-TH"/>
        </w:rPr>
        <w:lastRenderedPageBreak/>
        <w:t>ชื่อบทความ</w:t>
      </w:r>
      <w:r w:rsidR="008C07E0" w:rsidRPr="00E377A2">
        <w:rPr>
          <w:rFonts w:ascii="TH SarabunPSK" w:eastAsia="Times New Roman" w:hAnsi="TH SarabunPSK" w:cs="TH SarabunPSK"/>
          <w:sz w:val="28"/>
          <w:szCs w:val="28"/>
        </w:rPr>
        <w:t xml:space="preserve"> (TC</w:t>
      </w:r>
      <w:r w:rsidR="00E377A2">
        <w:rPr>
          <w:rFonts w:ascii="TH SarabunPSK" w:eastAsia="Times New Roman" w:hAnsi="TH SarabunPSK" w:cs="TH SarabunPSK"/>
          <w:sz w:val="28"/>
          <w:szCs w:val="28"/>
        </w:rPr>
        <w:t>I</w:t>
      </w:r>
      <w:r w:rsidR="008C07E0" w:rsidRPr="00E377A2">
        <w:rPr>
          <w:rFonts w:ascii="TH SarabunPSK" w:eastAsia="Times New Roman" w:hAnsi="TH SarabunPSK" w:cs="TH SarabunPSK"/>
          <w:sz w:val="28"/>
          <w:szCs w:val="28"/>
        </w:rPr>
        <w:t>1)</w:t>
      </w:r>
    </w:p>
    <w:p w14:paraId="2ABC443F" w14:textId="77777777" w:rsidR="008C07E0" w:rsidRPr="00E377A2" w:rsidRDefault="008C07E0" w:rsidP="00B15364">
      <w:pPr>
        <w:pStyle w:val="Heading3"/>
        <w:spacing w:before="0"/>
        <w:rPr>
          <w:rFonts w:ascii="TH SarabunPSK" w:eastAsia="Times New Roman" w:hAnsi="TH SarabunPSK" w:cs="TH SarabunPSK"/>
          <w:b w:val="0"/>
          <w:color w:val="auto"/>
          <w:sz w:val="28"/>
          <w:szCs w:val="28"/>
        </w:rPr>
      </w:pPr>
      <w:r w:rsidRPr="00E377A2">
        <w:rPr>
          <w:rFonts w:ascii="TH SarabunPSK" w:eastAsia="Times New Roman" w:hAnsi="TH SarabunPSK" w:cs="TH SarabunPSK"/>
          <w:b w:val="0"/>
          <w:bCs w:val="0"/>
          <w:color w:val="auto"/>
          <w:sz w:val="28"/>
          <w:szCs w:val="28"/>
          <w:cs/>
          <w:lang w:bidi="th-TH"/>
        </w:rPr>
        <w:t>ความสัมพันธ์ระหว่างความสามารถด้านการเขียนภาษาอังกฤษกับความรู้ด้านคำศัพท์ของนักเรียนโรงเรียนเอกชนสอนศาสนาอิสลาม</w:t>
      </w:r>
    </w:p>
    <w:p w14:paraId="1392E10F" w14:textId="76C81103" w:rsidR="008C07E0" w:rsidRPr="00E377A2" w:rsidRDefault="008C07E0" w:rsidP="008C07E0">
      <w:pPr>
        <w:rPr>
          <w:rFonts w:ascii="TH SarabunPSK" w:hAnsi="TH SarabunPSK" w:cs="TH SarabunPSK"/>
          <w:sz w:val="28"/>
          <w:szCs w:val="28"/>
        </w:rPr>
      </w:pPr>
      <w:r w:rsidRPr="00E377A2">
        <w:rPr>
          <w:rStyle w:val="Strong"/>
          <w:rFonts w:ascii="TH SarabunPSK" w:eastAsia="Times New Roman" w:hAnsi="TH SarabunPSK" w:cs="TH SarabunPSK"/>
          <w:b w:val="0"/>
          <w:sz w:val="28"/>
          <w:szCs w:val="28"/>
        </w:rPr>
        <w:t xml:space="preserve">Relationship between English writing ability and vocabulary knowledge of students in an Islamic religious </w:t>
      </w:r>
      <w:proofErr w:type="gramStart"/>
      <w:r w:rsidRPr="00E377A2">
        <w:rPr>
          <w:rStyle w:val="Strong"/>
          <w:rFonts w:ascii="TH SarabunPSK" w:eastAsia="Times New Roman" w:hAnsi="TH SarabunPSK" w:cs="TH SarabunPSK"/>
          <w:b w:val="0"/>
          <w:sz w:val="28"/>
          <w:szCs w:val="28"/>
        </w:rPr>
        <w:t>school</w:t>
      </w:r>
      <w:r w:rsidR="00B15364" w:rsidRPr="00E377A2">
        <w:rPr>
          <w:rFonts w:ascii="TH SarabunPSK" w:hAnsi="TH SarabunPSK" w:cs="TH SarabunPSK"/>
          <w:sz w:val="28"/>
          <w:szCs w:val="28"/>
        </w:rPr>
        <w:t xml:space="preserve"> ,</w:t>
      </w:r>
      <w:proofErr w:type="gramEnd"/>
      <w:r w:rsidR="00B15364" w:rsidRPr="00E377A2">
        <w:rPr>
          <w:rFonts w:ascii="TH SarabunPSK" w:hAnsi="TH SarabunPSK" w:cs="TH SarabunPSK"/>
          <w:sz w:val="28"/>
          <w:szCs w:val="28"/>
        </w:rPr>
        <w:t xml:space="preserve"> </w:t>
      </w:r>
      <w:r w:rsidRPr="00E377A2">
        <w:rPr>
          <w:rStyle w:val="Emphasis"/>
          <w:rFonts w:ascii="TH SarabunPSK" w:eastAsia="Times New Roman" w:hAnsi="TH SarabunPSK" w:cs="TH SarabunPSK"/>
          <w:i w:val="0"/>
          <w:iCs w:val="0"/>
          <w:sz w:val="28"/>
          <w:szCs w:val="28"/>
          <w:cs/>
          <w:lang w:bidi="th-TH"/>
        </w:rPr>
        <w:t xml:space="preserve">สุริยา </w:t>
      </w:r>
      <w:proofErr w:type="spellStart"/>
      <w:r w:rsidRPr="00E377A2">
        <w:rPr>
          <w:rStyle w:val="Emphasis"/>
          <w:rFonts w:ascii="TH SarabunPSK" w:eastAsia="Times New Roman" w:hAnsi="TH SarabunPSK" w:cs="TH SarabunPSK"/>
          <w:i w:val="0"/>
          <w:iCs w:val="0"/>
          <w:sz w:val="28"/>
          <w:szCs w:val="28"/>
          <w:cs/>
          <w:lang w:bidi="th-TH"/>
        </w:rPr>
        <w:t>หว่าห</w:t>
      </w:r>
      <w:proofErr w:type="spellEnd"/>
      <w:r w:rsidRPr="00E377A2">
        <w:rPr>
          <w:rStyle w:val="Emphasis"/>
          <w:rFonts w:ascii="TH SarabunPSK" w:eastAsia="Times New Roman" w:hAnsi="TH SarabunPSK" w:cs="TH SarabunPSK"/>
          <w:i w:val="0"/>
          <w:iCs w:val="0"/>
          <w:sz w:val="28"/>
          <w:szCs w:val="28"/>
          <w:cs/>
          <w:lang w:bidi="th-TH"/>
        </w:rPr>
        <w:t>ลำ</w:t>
      </w:r>
      <w:r w:rsidRPr="00E377A2">
        <w:rPr>
          <w:rStyle w:val="Emphasis"/>
          <w:rFonts w:ascii="TH SarabunPSK" w:eastAsia="Times New Roman" w:hAnsi="TH SarabunPSK" w:cs="TH SarabunPSK"/>
          <w:i w:val="0"/>
          <w:sz w:val="28"/>
          <w:szCs w:val="28"/>
        </w:rPr>
        <w:t xml:space="preserve">, </w:t>
      </w:r>
      <w:r w:rsidRPr="00E377A2">
        <w:rPr>
          <w:rStyle w:val="Emphasis"/>
          <w:rFonts w:ascii="TH SarabunPSK" w:eastAsia="Times New Roman" w:hAnsi="TH SarabunPSK" w:cs="TH SarabunPSK"/>
          <w:i w:val="0"/>
          <w:iCs w:val="0"/>
          <w:sz w:val="28"/>
          <w:szCs w:val="28"/>
          <w:cs/>
          <w:lang w:bidi="th-TH"/>
        </w:rPr>
        <w:t>นิสากร จารุมณี</w:t>
      </w:r>
    </w:p>
    <w:p w14:paraId="29606F76" w14:textId="55123E5D" w:rsidR="008C07E0" w:rsidRPr="00E377A2" w:rsidRDefault="008C07E0">
      <w:pPr>
        <w:rPr>
          <w:rFonts w:ascii="TH SarabunPSK" w:eastAsia="Times New Roman" w:hAnsi="TH SarabunPSK" w:cs="TH SarabunPSK"/>
          <w:sz w:val="28"/>
          <w:szCs w:val="28"/>
        </w:rPr>
      </w:pPr>
      <w:proofErr w:type="gramStart"/>
      <w:r w:rsidRPr="00E377A2">
        <w:rPr>
          <w:rFonts w:ascii="TH SarabunPSK" w:hAnsi="TH SarabunPSK" w:cs="TH SarabunPSK"/>
          <w:sz w:val="28"/>
          <w:szCs w:val="28"/>
        </w:rPr>
        <w:t>keywords</w:t>
      </w:r>
      <w:proofErr w:type="gramEnd"/>
      <w:r w:rsidRPr="00E377A2">
        <w:rPr>
          <w:rFonts w:ascii="TH SarabunPSK" w:hAnsi="TH SarabunPSK" w:cs="TH SarabunPSK"/>
          <w:sz w:val="28"/>
          <w:szCs w:val="28"/>
        </w:rPr>
        <w:t xml:space="preserve">: </w:t>
      </w:r>
      <w:r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นักเ</w:t>
      </w:r>
      <w:r w:rsidR="00B15364"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รียนโรงเรียนเอกชนสอนศาสนาอิสลาม </w:t>
      </w:r>
      <w:r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คว</w:t>
      </w:r>
      <w:r w:rsidR="00B15364"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ามสามารถด้านการเขียนภาษาอังกฤษ ความรู้ด้านคำศัพท์ </w:t>
      </w:r>
      <w:r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ระดับคำศัพท์</w:t>
      </w:r>
      <w:r w:rsidRPr="00E377A2">
        <w:rPr>
          <w:rFonts w:ascii="TH SarabunPSK" w:eastAsia="Times New Roman" w:hAnsi="TH SarabunPSK" w:cs="TH SarabunPSK"/>
          <w:sz w:val="28"/>
          <w:szCs w:val="28"/>
        </w:rPr>
        <w:t>;</w:t>
      </w:r>
      <w:r w:rsidR="00B15364" w:rsidRPr="00E377A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Is</w:t>
      </w:r>
      <w:r w:rsidR="00B15364" w:rsidRPr="00E377A2">
        <w:rPr>
          <w:rFonts w:ascii="TH SarabunPSK" w:eastAsia="Times New Roman" w:hAnsi="TH SarabunPSK" w:cs="TH SarabunPSK"/>
          <w:sz w:val="28"/>
          <w:szCs w:val="28"/>
        </w:rPr>
        <w:t xml:space="preserve">lamic religious school students,  English writing ability, </w:t>
      </w:r>
      <w:r w:rsidRPr="00E377A2">
        <w:rPr>
          <w:rFonts w:ascii="TH SarabunPSK" w:eastAsia="Times New Roman" w:hAnsi="TH SarabunPSK" w:cs="TH SarabunPSK"/>
          <w:sz w:val="28"/>
          <w:szCs w:val="28"/>
        </w:rPr>
        <w:t>voca</w:t>
      </w:r>
      <w:r w:rsidR="00B15364" w:rsidRPr="00E377A2">
        <w:rPr>
          <w:rFonts w:ascii="TH SarabunPSK" w:eastAsia="Times New Roman" w:hAnsi="TH SarabunPSK" w:cs="TH SarabunPSK"/>
          <w:sz w:val="28"/>
          <w:szCs w:val="28"/>
        </w:rPr>
        <w:t>bulary knowledge,</w:t>
      </w:r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vocabulary level</w:t>
      </w:r>
    </w:p>
    <w:p w14:paraId="2087CFFB" w14:textId="3E1E4CAD" w:rsidR="008C07E0" w:rsidRPr="00E377A2" w:rsidRDefault="008C07E0" w:rsidP="008C07E0">
      <w:pPr>
        <w:rPr>
          <w:rFonts w:ascii="TH SarabunPSK" w:eastAsia="Times New Roman" w:hAnsi="TH SarabunPSK" w:cs="TH SarabunPSK"/>
          <w:sz w:val="28"/>
          <w:szCs w:val="28"/>
        </w:rPr>
      </w:pPr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Source: 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</w:rPr>
        <w:t>Vol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</w:rPr>
        <w:t xml:space="preserve"> 8, No 1 (2016): 97-112, </w:t>
      </w:r>
      <w:r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วารสาร</w:t>
      </w:r>
      <w:proofErr w:type="spellStart"/>
      <w:r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ศิลป</w:t>
      </w:r>
      <w:proofErr w:type="spellEnd"/>
      <w:r w:rsidRPr="00E377A2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ศาสตร์ มหาวิทยาลัยสงขลานครินทร์ วิทยาเขตหาดใหญ่</w:t>
      </w:r>
      <w:r w:rsidRPr="00E377A2">
        <w:rPr>
          <w:rFonts w:ascii="TH SarabunPSK" w:eastAsia="Times New Roman" w:hAnsi="TH SarabunPSK" w:cs="TH SarabunPSK"/>
          <w:sz w:val="28"/>
          <w:szCs w:val="28"/>
        </w:rPr>
        <w:t> </w:t>
      </w:r>
    </w:p>
    <w:sectPr w:rsidR="008C07E0" w:rsidRPr="00E377A2" w:rsidSect="00A31E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C7"/>
    <w:rsid w:val="00082B27"/>
    <w:rsid w:val="001D3A70"/>
    <w:rsid w:val="002D1501"/>
    <w:rsid w:val="00454CC6"/>
    <w:rsid w:val="004E78EA"/>
    <w:rsid w:val="00506870"/>
    <w:rsid w:val="005F1BBD"/>
    <w:rsid w:val="00633F7B"/>
    <w:rsid w:val="00640270"/>
    <w:rsid w:val="0069758D"/>
    <w:rsid w:val="007B4985"/>
    <w:rsid w:val="00806436"/>
    <w:rsid w:val="008C07E0"/>
    <w:rsid w:val="008F0E9D"/>
    <w:rsid w:val="00A31EBF"/>
    <w:rsid w:val="00A57009"/>
    <w:rsid w:val="00B03F32"/>
    <w:rsid w:val="00B15364"/>
    <w:rsid w:val="00C2416E"/>
    <w:rsid w:val="00CC58AA"/>
    <w:rsid w:val="00E237D2"/>
    <w:rsid w:val="00E377A2"/>
    <w:rsid w:val="00E66696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3E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8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8A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4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241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07E0"/>
    <w:rPr>
      <w:i/>
      <w:iCs/>
    </w:rPr>
  </w:style>
  <w:style w:type="character" w:styleId="Strong">
    <w:name w:val="Strong"/>
    <w:basedOn w:val="DefaultParagraphFont"/>
    <w:uiPriority w:val="22"/>
    <w:qFormat/>
    <w:rsid w:val="008C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8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8A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4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241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07E0"/>
    <w:rPr>
      <w:i/>
      <w:iCs/>
    </w:rPr>
  </w:style>
  <w:style w:type="character" w:styleId="Strong">
    <w:name w:val="Strong"/>
    <w:basedOn w:val="DefaultParagraphFont"/>
    <w:uiPriority w:val="22"/>
    <w:qFormat/>
    <w:rsid w:val="008C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ci-thaijo.org/index.php/swurd/issue/view/3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 Wongyanon</dc:creator>
  <cp:keywords/>
  <dc:description/>
  <cp:lastModifiedBy>Helpdesk</cp:lastModifiedBy>
  <cp:revision>15</cp:revision>
  <dcterms:created xsi:type="dcterms:W3CDTF">2017-03-03T06:52:00Z</dcterms:created>
  <dcterms:modified xsi:type="dcterms:W3CDTF">2017-07-31T08:55:00Z</dcterms:modified>
</cp:coreProperties>
</file>