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94" w:rsidRPr="00B6044A" w:rsidRDefault="009C47C4" w:rsidP="009C47C4">
      <w:pPr>
        <w:spacing w:after="0"/>
        <w:jc w:val="center"/>
        <w:rPr>
          <w:rFonts w:ascii="DilleniaUPC" w:hAnsi="DilleniaUPC" w:cs="DilleniaUPC"/>
          <w:b/>
          <w:bCs/>
          <w:sz w:val="36"/>
          <w:szCs w:val="36"/>
          <w:u w:val="single"/>
        </w:rPr>
      </w:pPr>
      <w:r w:rsidRPr="00B6044A">
        <w:rPr>
          <w:rFonts w:ascii="DilleniaUPC" w:hAnsi="DilleniaUPC" w:cs="DilleniaUPC"/>
          <w:b/>
          <w:bCs/>
          <w:color w:val="000000"/>
          <w:sz w:val="36"/>
          <w:szCs w:val="36"/>
          <w:u w:val="single"/>
          <w:cs/>
        </w:rPr>
        <w:t>เรียนรู้สู่สังคมสูงวัย กับ</w:t>
      </w:r>
      <w:r w:rsidR="00B6044A" w:rsidRPr="00B6044A">
        <w:rPr>
          <w:rFonts w:ascii="DilleniaUPC" w:hAnsi="DilleniaUPC" w:cs="DilleniaUPC"/>
          <w:b/>
          <w:bCs/>
          <w:color w:val="000000"/>
          <w:sz w:val="36"/>
          <w:szCs w:val="36"/>
          <w:u w:val="single"/>
          <w:cs/>
        </w:rPr>
        <w:t>การดูแลผู้ป่วยสูงอายุ</w:t>
      </w:r>
    </w:p>
    <w:p w:rsidR="009C47C4" w:rsidRPr="00B6044A" w:rsidRDefault="009C47C4" w:rsidP="00B6044A">
      <w:pPr>
        <w:spacing w:after="120"/>
        <w:jc w:val="center"/>
        <w:rPr>
          <w:rFonts w:ascii="DilleniaUPC" w:hAnsi="DilleniaUPC" w:cs="DilleniaUPC"/>
          <w:b/>
          <w:bCs/>
          <w:sz w:val="36"/>
          <w:szCs w:val="36"/>
          <w:u w:val="single"/>
        </w:rPr>
      </w:pPr>
      <w:r w:rsidRPr="00B6044A">
        <w:rPr>
          <w:rFonts w:ascii="DilleniaUPC" w:hAnsi="DilleniaUPC" w:cs="DilleniaUPC"/>
          <w:b/>
          <w:bCs/>
          <w:color w:val="000000"/>
          <w:sz w:val="36"/>
          <w:szCs w:val="36"/>
          <w:u w:val="single"/>
          <w:cs/>
        </w:rPr>
        <w:t>ก้าวให้พ้นจากกรอบการมองโรคแบบเดิมๆ</w:t>
      </w:r>
    </w:p>
    <w:p w:rsidR="009C47C4" w:rsidRDefault="009C47C4" w:rsidP="009C47C4">
      <w:pPr>
        <w:spacing w:after="0"/>
        <w:ind w:firstLine="720"/>
        <w:rPr>
          <w:rFonts w:ascii="DilleniaUPC" w:hAnsi="DilleniaUPC" w:cs="DilleniaUPC"/>
          <w:b/>
          <w:bCs/>
          <w:sz w:val="32"/>
          <w:szCs w:val="32"/>
          <w:u w:val="single"/>
        </w:rPr>
      </w:pPr>
      <w:r w:rsidRPr="009C47C4">
        <w:rPr>
          <w:rFonts w:ascii="DilleniaUPC" w:hAnsi="DilleniaUPC" w:cs="DilleniaUPC"/>
          <w:color w:val="000000"/>
          <w:sz w:val="32"/>
          <w:szCs w:val="32"/>
          <w:cs/>
        </w:rPr>
        <w:t>การดูแลผู้สูงอายุใน</w:t>
      </w:r>
      <w:r>
        <w:rPr>
          <w:rFonts w:ascii="DilleniaUPC" w:hAnsi="DilleniaUPC" w:cs="DilleniaUPC" w:hint="cs"/>
          <w:color w:val="000000"/>
          <w:sz w:val="32"/>
          <w:szCs w:val="32"/>
          <w:cs/>
        </w:rPr>
        <w:t>ยุคปัจจุบัน</w:t>
      </w:r>
      <w:r w:rsidRPr="009C47C4">
        <w:rPr>
          <w:rFonts w:ascii="DilleniaUPC" w:hAnsi="DilleniaUPC" w:cs="DilleniaUPC"/>
          <w:color w:val="000000"/>
          <w:sz w:val="32"/>
          <w:szCs w:val="32"/>
          <w:cs/>
        </w:rPr>
        <w:t xml:space="preserve"> จะต้อง</w:t>
      </w:r>
      <w:r>
        <w:rPr>
          <w:rFonts w:ascii="DilleniaUPC" w:hAnsi="DilleniaUPC" w:cs="DilleniaUPC" w:hint="cs"/>
          <w:color w:val="000000"/>
          <w:sz w:val="32"/>
          <w:szCs w:val="32"/>
          <w:cs/>
        </w:rPr>
        <w:t>ลบล้างความคิดเก่าที่มองว่า</w:t>
      </w:r>
      <w:r w:rsidRPr="009C47C4">
        <w:rPr>
          <w:rFonts w:ascii="DilleniaUPC" w:hAnsi="DilleniaUPC" w:cs="DilleniaUPC"/>
          <w:color w:val="000000"/>
          <w:sz w:val="32"/>
          <w:szCs w:val="32"/>
          <w:cs/>
        </w:rPr>
        <w:t>ความสูงวัยว่าเป็นภาวะของโรค แต่มอง</w:t>
      </w:r>
      <w:r w:rsidRPr="009C47C4">
        <w:rPr>
          <w:rFonts w:ascii="DilleniaUPC" w:hAnsi="DilleniaUPC" w:cs="DilleniaUPC"/>
          <w:color w:val="000000"/>
          <w:spacing w:val="-2"/>
          <w:sz w:val="32"/>
          <w:szCs w:val="32"/>
          <w:cs/>
        </w:rPr>
        <w:t>สุขภาพของผู้สูงอายุให้เชื่อมกับ</w:t>
      </w:r>
      <w:r w:rsidRPr="009C47C4">
        <w:rPr>
          <w:rFonts w:ascii="DilleniaUPC" w:hAnsi="DilleniaUPC" w:cs="DilleniaUPC" w:hint="cs"/>
          <w:color w:val="000000"/>
          <w:spacing w:val="-2"/>
          <w:sz w:val="32"/>
          <w:szCs w:val="32"/>
          <w:cs/>
        </w:rPr>
        <w:t>เรื่องต่</w:t>
      </w:r>
      <w:r w:rsidRPr="009C47C4">
        <w:rPr>
          <w:rFonts w:ascii="DilleniaUPC" w:hAnsi="DilleniaUPC" w:cs="DilleniaUPC"/>
          <w:color w:val="000000"/>
          <w:spacing w:val="-2"/>
          <w:sz w:val="32"/>
          <w:szCs w:val="32"/>
          <w:cs/>
        </w:rPr>
        <w:t>างๆ ไม่ว่าจะ</w:t>
      </w:r>
      <w:r w:rsidRPr="009C47C4">
        <w:rPr>
          <w:rFonts w:ascii="DilleniaUPC" w:hAnsi="DilleniaUPC" w:cs="DilleniaUPC" w:hint="cs"/>
          <w:color w:val="000000"/>
          <w:spacing w:val="-2"/>
          <w:sz w:val="32"/>
          <w:szCs w:val="32"/>
          <w:cs/>
        </w:rPr>
        <w:t>เป็น</w:t>
      </w:r>
      <w:r w:rsidRPr="009C47C4">
        <w:rPr>
          <w:rFonts w:ascii="DilleniaUPC" w:hAnsi="DilleniaUPC" w:cs="DilleniaUPC"/>
          <w:color w:val="000000"/>
          <w:spacing w:val="-2"/>
          <w:sz w:val="32"/>
          <w:szCs w:val="32"/>
          <w:cs/>
        </w:rPr>
        <w:t>เรื่อง</w:t>
      </w:r>
      <w:r w:rsidRPr="009C47C4">
        <w:rPr>
          <w:rFonts w:ascii="DilleniaUPC" w:hAnsi="DilleniaUPC" w:cs="DilleniaUPC" w:hint="cs"/>
          <w:color w:val="000000"/>
          <w:spacing w:val="-2"/>
          <w:sz w:val="32"/>
          <w:szCs w:val="32"/>
          <w:cs/>
        </w:rPr>
        <w:t>ของ</w:t>
      </w:r>
      <w:r w:rsidRPr="009C47C4">
        <w:rPr>
          <w:rFonts w:ascii="DilleniaUPC" w:hAnsi="DilleniaUPC" w:cs="DilleniaUPC"/>
          <w:color w:val="000000"/>
          <w:spacing w:val="-2"/>
          <w:sz w:val="32"/>
          <w:szCs w:val="32"/>
          <w:cs/>
        </w:rPr>
        <w:t xml:space="preserve">ความเป็นมนุษย์ เรื่องสันติภาพ </w:t>
      </w:r>
      <w:r w:rsidRPr="009C47C4">
        <w:rPr>
          <w:rFonts w:ascii="DilleniaUPC" w:hAnsi="DilleniaUPC" w:cs="DilleniaUPC" w:hint="cs"/>
          <w:color w:val="000000"/>
          <w:spacing w:val="-2"/>
          <w:sz w:val="32"/>
          <w:szCs w:val="32"/>
          <w:cs/>
        </w:rPr>
        <w:t>ตัวอย่าง</w:t>
      </w:r>
      <w:r w:rsidRPr="009C47C4">
        <w:rPr>
          <w:rFonts w:ascii="DilleniaUPC" w:hAnsi="DilleniaUPC" w:cs="DilleniaUPC"/>
          <w:color w:val="000000"/>
          <w:spacing w:val="-2"/>
          <w:sz w:val="32"/>
          <w:szCs w:val="32"/>
          <w:cs/>
        </w:rPr>
        <w:t>เช่น การก้าวข้าม</w:t>
      </w:r>
      <w:r w:rsidRPr="009C47C4">
        <w:rPr>
          <w:rFonts w:ascii="DilleniaUPC" w:hAnsi="DilleniaUPC" w:cs="DilleniaUPC"/>
          <w:color w:val="000000"/>
          <w:sz w:val="32"/>
          <w:szCs w:val="32"/>
          <w:cs/>
        </w:rPr>
        <w:t>ความคับแค้นใจ ความขุ่นข้องหมองใจ และการเยียวยาความสัมพันธ์ร้าวฉานต่างๆ การเชื่อมโยงกับเรื่องสุนทรียภาพ ซึ่งหมายถึงการไม่สูญเสียความรู้สึกรู้สมต่อสิ่งต่างๆ ที่เกิดขึ้นรอบตัว ตลอดจนเชื่อมโยงกับเรื่องอิสรภาพจากความกลัวต่างๆ ไม่ว่าจะเป็นความกลัวเรื่องความมั่นคง กลัวเรื่องลูกหลาน หรือกลัวเรื่องตายไปแล้วจะเป็นอย่างไร</w:t>
      </w:r>
      <w:r w:rsidRPr="009C47C4">
        <w:rPr>
          <w:rFonts w:ascii="DilleniaUPC" w:hAnsi="DilleniaUPC" w:cs="DilleniaUPC"/>
          <w:color w:val="000000"/>
          <w:sz w:val="32"/>
          <w:szCs w:val="32"/>
        </w:rPr>
        <w:t xml:space="preserve">  </w:t>
      </w:r>
    </w:p>
    <w:p w:rsidR="009C47C4" w:rsidRDefault="009C47C4" w:rsidP="00B6044A">
      <w:pPr>
        <w:spacing w:after="120" w:line="240" w:lineRule="auto"/>
        <w:rPr>
          <w:rFonts w:ascii="DilleniaUPC" w:eastAsia="Times New Roman" w:hAnsi="DilleniaUPC" w:cs="DilleniaUPC"/>
          <w:color w:val="000000"/>
          <w:sz w:val="32"/>
          <w:szCs w:val="32"/>
        </w:rPr>
      </w:pP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สุขภาพดี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ของผู้สูงอายุ จึงแยกไม่ออกจาก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ชีวิตที่ดี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ดังคำว่า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Health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ที่มาจากรากศัพท์ของคำว่า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Whole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ซึ่งนิยามเป็นภาษาไทยได้ว่า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ความสุขสมบูรณ์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  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โดยคำว่า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สมบูรณ์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ประกอบด้วยคำว่า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สม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แปลว่า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ลงตัว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กับ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บูรณ์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 xml:space="preserve">คือ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“</w:t>
      </w:r>
      <w:proofErr w:type="spellStart"/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บูรณา</w:t>
      </w:r>
      <w:proofErr w:type="spellEnd"/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การ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 xml:space="preserve">”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จึงหมายถึง มีองค์ประกอบจำนวนมากมา</w:t>
      </w:r>
      <w:r w:rsidR="00B6044A">
        <w:rPr>
          <w:rFonts w:ascii="DilleniaUPC" w:eastAsia="Times New Roman" w:hAnsi="DilleniaUPC" w:cs="DilleniaUPC" w:hint="cs"/>
          <w:color w:val="000000"/>
          <w:sz w:val="32"/>
          <w:szCs w:val="32"/>
          <w:cs/>
        </w:rPr>
        <w:t>รวม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กันแล้วลงตัว</w:t>
      </w:r>
      <w:r>
        <w:rPr>
          <w:rFonts w:ascii="DilleniaUPC" w:eastAsia="Times New Roman" w:hAnsi="DilleniaUPC" w:cs="DilleniaUPC"/>
          <w:color w:val="000000"/>
          <w:sz w:val="32"/>
          <w:szCs w:val="32"/>
        </w:rPr>
        <w:t xml:space="preserve"> 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การดูแลผู้สูงอายุให้มีชีวิตที่สมบูรณ์จึงต้องพิจารณาองค์ประกอบจำนวนมาก เป็นศิลปะที่อาศัยมุมมองในหลายมิติเพื่อให้เกิดความลงตัว และเป็นความงามของวิชาชีพแพทย์</w:t>
      </w:r>
      <w:r w:rsidR="00B6044A">
        <w:rPr>
          <w:rFonts w:ascii="DilleniaUPC" w:eastAsia="Times New Roman" w:hAnsi="DilleniaUPC" w:cs="DilleniaUPC" w:hint="cs"/>
          <w:color w:val="000000"/>
          <w:sz w:val="32"/>
          <w:szCs w:val="32"/>
          <w:cs/>
        </w:rPr>
        <w:t xml:space="preserve">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พยาบาล ที่ท้าทายความคิดสร้างสรรค์ในการเข้าไปสัมพันธ์กับชีวิตของผู้สูงอายุ</w:t>
      </w:r>
      <w:r w:rsidR="00B6044A">
        <w:rPr>
          <w:rFonts w:ascii="DilleniaUPC" w:eastAsia="Times New Roman" w:hAnsi="DilleniaUPC" w:cs="DilleniaUPC" w:hint="cs"/>
          <w:color w:val="000000"/>
          <w:sz w:val="32"/>
          <w:szCs w:val="32"/>
          <w:cs/>
        </w:rPr>
        <w:t xml:space="preserve"> 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และทำให้มีสุขภาพดีขึ้น ไม่เพียงในความหมายของการไม่มีโรค (ทางกาย) คือลาภอันประเสริฐ หรืออายุยืนยาวเท่านั้น แต่ต้องรวมถึงสุขภาพที่เกิดจากความเป็นธรรม เป็นไท ไม่ถูกกดขี่ อยู่เย็นเป็นสุข อยู่ร่วมกันในสังคมได้ หรือเข้าถึงความดี ความงาม ความจริง อีกด้วย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 </w:t>
      </w:r>
    </w:p>
    <w:p w:rsidR="009C47C4" w:rsidRDefault="009C47C4" w:rsidP="00B6044A">
      <w:pPr>
        <w:spacing w:after="120" w:line="240" w:lineRule="auto"/>
        <w:ind w:firstLine="720"/>
        <w:rPr>
          <w:rFonts w:ascii="DilleniaUPC" w:eastAsia="Times New Roman" w:hAnsi="DilleniaUPC" w:cs="DilleniaUPC"/>
          <w:color w:val="000000"/>
          <w:sz w:val="32"/>
          <w:szCs w:val="32"/>
        </w:rPr>
      </w:pP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ดังนั้น แม้ภาวะสูงวัยจะเป็นภาวะไม่สามารถเติบโตในทางกายภาพได้อีกแล้ว แต่ในมิติอื่นๆ ไม่ว่าในทางจิตใจ สังคม และจิตวิญญาณล้วนสามารถเหลือเติบโตได้อย่างไม่สิ้นสุด เช่น เป็นเวลาของการทบทวนเข้าถึงคุณค่าชีวิต เป็นเวลาของการฟื้นฟูความสัมพันธ์ทางสังคมที่ร้าวฉาน เป็นวัยที่สะท้อนภูมิปัญญาจากประสบการณ์ชีวิต เป็นวัยส่องตะเกียงให้กับคนวัยอื่นๆ ตลอดจนเป็นวัยเพื่อการเตรียมตัวและทำวาระสุดท้ายของชีวิตให้สมบูรณ์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 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วัยชราจึงมี</w:t>
      </w:r>
      <w:proofErr w:type="spellStart"/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พันธ</w:t>
      </w:r>
      <w:proofErr w:type="spellEnd"/>
      <w:r w:rsidRPr="009C47C4">
        <w:rPr>
          <w:rFonts w:ascii="DilleniaUPC" w:eastAsia="Times New Roman" w:hAnsi="DilleniaUPC" w:cs="DilleniaUPC"/>
          <w:color w:val="000000"/>
          <w:sz w:val="32"/>
          <w:szCs w:val="32"/>
          <w:cs/>
        </w:rPr>
        <w:t>กิจของชีวิตอีกแบบหนึ่ง ที่ไม่ควรไปอาลัยอาวรณ์กับศักยภาพที่เคยมีมา</w:t>
      </w:r>
      <w:r w:rsidRPr="009C47C4">
        <w:rPr>
          <w:rFonts w:ascii="DilleniaUPC" w:eastAsia="Times New Roman" w:hAnsi="DilleniaUPC" w:cs="DilleniaUPC"/>
          <w:color w:val="000000"/>
          <w:sz w:val="32"/>
          <w:szCs w:val="32"/>
        </w:rPr>
        <w:t> </w:t>
      </w:r>
    </w:p>
    <w:p w:rsidR="009C47C4" w:rsidRPr="009C47C4" w:rsidRDefault="009C47C4" w:rsidP="009C47C4">
      <w:pPr>
        <w:spacing w:after="0" w:line="240" w:lineRule="auto"/>
        <w:ind w:firstLine="720"/>
        <w:rPr>
          <w:rFonts w:ascii="DilleniaUPC" w:hAnsi="DilleniaUPC" w:cs="DilleniaUPC"/>
          <w:b/>
          <w:bCs/>
          <w:sz w:val="32"/>
          <w:szCs w:val="32"/>
          <w:u w:val="single"/>
        </w:rPr>
      </w:pPr>
      <w:r w:rsidRPr="009C47C4">
        <w:rPr>
          <w:rFonts w:ascii="DilleniaUPC" w:hAnsi="DilleniaUPC" w:cs="DilleniaUPC"/>
          <w:color w:val="000000"/>
          <w:sz w:val="32"/>
          <w:szCs w:val="32"/>
          <w:cs/>
        </w:rPr>
        <w:t>จะเห็นได้ว่า การปรับปรุงเปลี่ยนแปลงระบบการดูแลผู้ป่วยระยะสุดท้ายโดยเฉพาะในผู้ป่วยสูงอายุของสังคมไทย เพื่อให้สามารถตอบโจทย์อันหลากหลายของผู้สูงอายุได้อย่างมีคุณภาพ มีความจำเป็นอย่างยิ่ง แต่คงไม่สามารถดำเนินการให้ลุล่วงได้ภายในระยะเวลาอันสั้น ด้วยเหตุปัจจัยทางเศรษฐกิจ สังคม การเมืองเฉพาะตัวของประเทศไทย แต่สิ่งที่มีความจำเป็นไม่แพ้กัน และอาจดำเนินการได้ในทันที คือการเปลี่ยนแปลงมุมมองและทัศนคติในระดับบุคคลที่มีต่อภาวะสูงวัยหรือผู้ป</w:t>
      </w:r>
      <w:r w:rsidR="00B6044A">
        <w:rPr>
          <w:rFonts w:ascii="DilleniaUPC" w:hAnsi="DilleniaUPC" w:cs="DilleniaUPC"/>
          <w:color w:val="000000"/>
          <w:sz w:val="32"/>
          <w:szCs w:val="32"/>
          <w:cs/>
        </w:rPr>
        <w:t>่วยสูงอายุ เพียงเชื่อมั่นในศักด</w:t>
      </w:r>
      <w:r w:rsidR="00B6044A">
        <w:rPr>
          <w:rFonts w:ascii="DilleniaUPC" w:hAnsi="DilleniaUPC" w:cs="DilleniaUPC" w:hint="cs"/>
          <w:color w:val="000000"/>
          <w:sz w:val="32"/>
          <w:szCs w:val="32"/>
          <w:cs/>
        </w:rPr>
        <w:t>ิ์</w:t>
      </w:r>
      <w:r w:rsidRPr="009C47C4">
        <w:rPr>
          <w:rFonts w:ascii="DilleniaUPC" w:hAnsi="DilleniaUPC" w:cs="DilleniaUPC"/>
          <w:color w:val="000000"/>
          <w:sz w:val="32"/>
          <w:szCs w:val="32"/>
          <w:cs/>
        </w:rPr>
        <w:t>ศรีและศักยภาพของความเป็นมนุษย์ทั้งในตัวเองและผู้ป่วย</w:t>
      </w:r>
      <w:r w:rsidRPr="009C47C4">
        <w:rPr>
          <w:rFonts w:ascii="DilleniaUPC" w:hAnsi="DilleniaUPC" w:cs="DilleniaUPC"/>
          <w:color w:val="000000"/>
          <w:sz w:val="32"/>
          <w:szCs w:val="32"/>
        </w:rPr>
        <w:t xml:space="preserve"> </w:t>
      </w:r>
    </w:p>
    <w:p w:rsidR="00B6044A" w:rsidRDefault="00B6044A" w:rsidP="00B6044A">
      <w:pPr>
        <w:rPr>
          <w:rFonts w:ascii="DilleniaUPC" w:hAnsi="DilleniaUPC" w:cs="DilleniaUPC" w:hint="cs"/>
          <w:b/>
          <w:bCs/>
          <w:sz w:val="32"/>
          <w:szCs w:val="32"/>
        </w:rPr>
      </w:pPr>
    </w:p>
    <w:p w:rsidR="00B6044A" w:rsidRDefault="00B6044A" w:rsidP="00B6044A">
      <w:pPr>
        <w:rPr>
          <w:rFonts w:ascii="DilleniaUPC" w:hAnsi="DilleniaUPC" w:cs="DilleniaUPC"/>
          <w:b/>
          <w:bCs/>
          <w:sz w:val="32"/>
          <w:szCs w:val="32"/>
        </w:rPr>
      </w:pPr>
      <w:r w:rsidRPr="00B6044A">
        <w:rPr>
          <w:rFonts w:ascii="DilleniaUPC" w:hAnsi="DilleniaUPC" w:cs="DilleniaUPC"/>
          <w:color w:val="000000"/>
          <w:sz w:val="32"/>
          <w:szCs w:val="32"/>
          <w:cs/>
        </w:rPr>
        <w:t xml:space="preserve">ที่มา: จดหมายข่าวอาทิตย์อัสดง ปีที่ </w:t>
      </w:r>
      <w:r w:rsidRPr="00B6044A">
        <w:rPr>
          <w:rFonts w:ascii="DilleniaUPC" w:hAnsi="DilleniaUPC" w:cs="DilleniaUPC"/>
          <w:color w:val="000000"/>
          <w:sz w:val="32"/>
          <w:szCs w:val="32"/>
          <w:cs/>
        </w:rPr>
        <w:t>4</w:t>
      </w:r>
      <w:r w:rsidRPr="00B6044A">
        <w:rPr>
          <w:rFonts w:ascii="DilleniaUPC" w:hAnsi="DilleniaUPC" w:cs="DilleniaUPC"/>
          <w:color w:val="000000"/>
          <w:sz w:val="32"/>
          <w:szCs w:val="32"/>
        </w:rPr>
        <w:t xml:space="preserve"> </w:t>
      </w:r>
      <w:r w:rsidRPr="00B6044A">
        <w:rPr>
          <w:rFonts w:ascii="DilleniaUPC" w:hAnsi="DilleniaUPC" w:cs="DilleniaUPC"/>
          <w:color w:val="000000"/>
          <w:sz w:val="32"/>
          <w:szCs w:val="32"/>
          <w:cs/>
        </w:rPr>
        <w:t xml:space="preserve">ฉบับที่ </w:t>
      </w:r>
      <w:r w:rsidRPr="00B6044A">
        <w:rPr>
          <w:rFonts w:ascii="DilleniaUPC" w:hAnsi="DilleniaUPC" w:cs="DilleniaUPC"/>
          <w:color w:val="000000"/>
          <w:sz w:val="32"/>
          <w:szCs w:val="32"/>
        </w:rPr>
        <w:t xml:space="preserve"> </w:t>
      </w:r>
      <w:r w:rsidRPr="00B6044A">
        <w:rPr>
          <w:rFonts w:ascii="DilleniaUPC" w:hAnsi="DilleniaUPC" w:cs="DilleniaUPC"/>
          <w:color w:val="000000"/>
          <w:sz w:val="32"/>
          <w:szCs w:val="32"/>
          <w:cs/>
        </w:rPr>
        <w:t>14</w:t>
      </w:r>
      <w:r w:rsidRPr="00B6044A">
        <w:rPr>
          <w:rFonts w:ascii="DilleniaUPC" w:hAnsi="DilleniaUPC" w:cs="DilleniaUPC"/>
          <w:color w:val="000000"/>
          <w:sz w:val="32"/>
          <w:szCs w:val="32"/>
        </w:rPr>
        <w:t xml:space="preserve"> </w:t>
      </w:r>
      <w:r w:rsidRPr="00B6044A">
        <w:rPr>
          <w:rFonts w:ascii="DilleniaUPC" w:hAnsi="DilleniaUPC" w:cs="DilleniaUPC"/>
          <w:color w:val="000000"/>
          <w:sz w:val="32"/>
          <w:szCs w:val="32"/>
          <w:cs/>
        </w:rPr>
        <w:t xml:space="preserve">ประจำเดือน ตุลาคม </w:t>
      </w:r>
      <w:r w:rsidRPr="00B6044A">
        <w:rPr>
          <w:rFonts w:ascii="DilleniaUPC" w:hAnsi="DilleniaUPC" w:cs="DilleniaUPC"/>
          <w:color w:val="000000"/>
          <w:sz w:val="32"/>
          <w:szCs w:val="32"/>
        </w:rPr>
        <w:t xml:space="preserve">– </w:t>
      </w:r>
      <w:r w:rsidRPr="00B6044A">
        <w:rPr>
          <w:rFonts w:ascii="DilleniaUPC" w:hAnsi="DilleniaUPC" w:cs="DilleniaUPC"/>
          <w:color w:val="000000"/>
          <w:sz w:val="32"/>
          <w:szCs w:val="32"/>
          <w:cs/>
        </w:rPr>
        <w:t xml:space="preserve">ธันวาคม </w:t>
      </w:r>
      <w:r w:rsidRPr="00B6044A">
        <w:rPr>
          <w:rFonts w:ascii="DilleniaUPC" w:hAnsi="DilleniaUPC" w:cs="DilleniaUPC"/>
          <w:color w:val="000000"/>
          <w:sz w:val="32"/>
          <w:szCs w:val="32"/>
          <w:cs/>
        </w:rPr>
        <w:t>2555</w:t>
      </w:r>
    </w:p>
    <w:p w:rsidR="00B6044A" w:rsidRPr="00B6044A" w:rsidRDefault="00B6044A" w:rsidP="00B6044A">
      <w:pPr>
        <w:rPr>
          <w:rFonts w:ascii="DilleniaUPC" w:hAnsi="DilleniaUPC" w:cs="DilleniaUPC" w:hint="cs"/>
          <w:sz w:val="32"/>
          <w:szCs w:val="32"/>
          <w:cs/>
        </w:rPr>
      </w:pPr>
      <w:r w:rsidRPr="00B6044A">
        <w:rPr>
          <w:rFonts w:ascii="DilleniaUPC" w:hAnsi="DilleniaUPC" w:cs="DilleniaUPC" w:hint="cs"/>
          <w:sz w:val="32"/>
          <w:szCs w:val="32"/>
          <w:cs/>
        </w:rPr>
        <w:t>นางจุ</w:t>
      </w:r>
      <w:proofErr w:type="spellStart"/>
      <w:r w:rsidRPr="00B6044A">
        <w:rPr>
          <w:rFonts w:ascii="DilleniaUPC" w:hAnsi="DilleniaUPC" w:cs="DilleniaUPC" w:hint="cs"/>
          <w:sz w:val="32"/>
          <w:szCs w:val="32"/>
          <w:cs/>
        </w:rPr>
        <w:t>ลิน</w:t>
      </w:r>
      <w:proofErr w:type="spellEnd"/>
      <w:r w:rsidRPr="00B6044A">
        <w:rPr>
          <w:rFonts w:ascii="DilleniaUPC" w:hAnsi="DilleniaUPC" w:cs="DilleniaUPC" w:hint="cs"/>
          <w:sz w:val="32"/>
          <w:szCs w:val="32"/>
          <w:cs/>
        </w:rPr>
        <w:t>ทิพย์  เจนสุนทรระวี</w:t>
      </w:r>
      <w:r w:rsidR="00884D6D">
        <w:rPr>
          <w:rFonts w:ascii="DilleniaUPC" w:hAnsi="DilleniaUPC" w:cs="DilleniaUPC" w:hint="cs"/>
          <w:sz w:val="32"/>
          <w:szCs w:val="32"/>
          <w:cs/>
        </w:rPr>
        <w:t xml:space="preserve"> แครอท</w:t>
      </w:r>
      <w:bookmarkStart w:id="0" w:name="_GoBack"/>
      <w:bookmarkEnd w:id="0"/>
    </w:p>
    <w:sectPr w:rsidR="00B6044A" w:rsidRPr="00B60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C4"/>
    <w:rsid w:val="00877F94"/>
    <w:rsid w:val="00884D6D"/>
    <w:rsid w:val="009C47C4"/>
    <w:rsid w:val="00B6044A"/>
    <w:rsid w:val="00C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</dc:creator>
  <cp:lastModifiedBy>anw</cp:lastModifiedBy>
  <cp:revision>2</cp:revision>
  <cp:lastPrinted>2015-04-30T03:43:00Z</cp:lastPrinted>
  <dcterms:created xsi:type="dcterms:W3CDTF">2015-04-30T03:26:00Z</dcterms:created>
  <dcterms:modified xsi:type="dcterms:W3CDTF">2015-04-30T03:46:00Z</dcterms:modified>
</cp:coreProperties>
</file>