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2" w:rsidRPr="00EB25B1" w:rsidRDefault="008F7B82" w:rsidP="008F7B82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AAR </w:t>
      </w: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ครั้งที่ 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</w:p>
    <w:p w:rsidR="008F7B82" w:rsidRPr="00EB25B1" w:rsidRDefault="008F7B82" w:rsidP="008F7B82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เรื่อง ทิศทางการวิจัยและการพัฒนาด้านหลักสูตรในศตวรรษที่ 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>21</w:t>
      </w:r>
    </w:p>
    <w:p w:rsidR="008F7B82" w:rsidRPr="00EB25B1" w:rsidRDefault="008F7B82" w:rsidP="008F7B82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อบรมโดย ดร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 </w:t>
      </w:r>
      <w:proofErr w:type="spellStart"/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พิม</w:t>
      </w:r>
      <w:proofErr w:type="spellEnd"/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พันธ์ เดชะคุปต์</w:t>
      </w:r>
    </w:p>
    <w:p w:rsidR="008F7B82" w:rsidRDefault="008F7B82" w:rsidP="008F7B82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เมื่อวันที่ 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24 </w:t>
      </w:r>
      <w:r w:rsidRPr="00EB25B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สิงหาคม </w:t>
      </w:r>
      <w:r w:rsidRPr="00EB25B1"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หลักการสำคัญในการออกแบบหลับสูตร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            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การออกแบบหลักสูตรนั้นจำเป็นต้องมีหลักการต่างๆขึ้นมาเพื่อรองรับ เพื่อให้หลักสูตรนั้นเป็นหลักสูตรที่มีประสิทธิภาพ เหมาะกับการนำไปใช้ และเหมาะกับการเปลี่ยนแปลงอยู่ตลอดเวลา สำหรับหลักการสำคัญสิ่งแรกที่ควรพิจารณาคือ ความเป็น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World Class Education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เป็นการจัดการศึกษาเพื่อเป็นไปอย่างสากล และยังมีหลักการที่ใช้เป็นหลักยึดในการออกแบบหลักสูตรนั้นอื่นๆอีก ได้แก่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1.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หลัก 7 ประการในการออกแบบหลักสูตร (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7 principles of curriculum design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)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    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หลักคิดเพื่อการสร้างหลักสูตรที่ดีมีประสิทธิภาพโดยได้กล่าวว่าการออกแบบการจัดการเรียนรู้หรือหลักสูตรนั้นต้องประกอบด้วยพื้นฐา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7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ประการ คือ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Challenge and enjoyment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(ค้นหาศักยภาพและความสุข) คือ หลักสูตรต้องได้รับการออกแบบให้นักเรียนได้ค้นหาศักยภาพและกระตุ้นนักเรียนให้มีความสนใจในการเรียนรู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Breadths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(ความกว้าง) คือ หลักสูตรที่ดีต้องเปิดกว้างในการเรียนรู้ เพราะการเรียนรู้มีได้หลากหลายแนวทาง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Progressions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(ความก้าวหน้า) คือ หลักสูตรต้องออกแบบมาให้ผู้เรียนได้เกิดการเรียนรู้และพัฒนาไปสู้ความก้าวหน้าที่ผู้เรียนตั้งเป้าไว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Depths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(ความลึกซึ้ง) คือ หลักสูตรต้องเปิดโอกาสให้ผู้เรียนได้ใช้ความรู้อย่างลึกซึ้ง ที่สำคัญคือ หลักสูตรต้องให้โอกาสนักเรียนได้ใช้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Coherence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(ความเกี่ยวข้อง) คือ หลักสูตรที่ดีต้องมีเนื้อหาและจุดประสงค์ที่สนองกับบริบทที่จะนำหลักสูตรไปใช้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Relevance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(ความสัมพันธ์กัน) คือ เนื้อหาในหลักสูตรต้องมีความสัมพันธ์สอดคล้องกับจุดประสงค์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Personalization and choice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(ความเป็นเอกลักษณ์และตัวเลือก) คือ หลักสูตรที่ดีต้องให้นักเรียนได้ค้นพบเอกลักษณ์ของตนเองและมีทางเลือกในการแสวงหาเอกลักษณ์ของตนเอง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2.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ทักษะที่จำเป็นในศตวรรษที่ 21 (3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Rs+7Cs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)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    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ศ.</w:t>
      </w:r>
      <w:proofErr w:type="spellStart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น.พ</w:t>
      </w:r>
      <w:proofErr w:type="spell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.วิจารณ์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พานิชได้กล่าวถึงการศึกษาในศตวรรษที่ 21 ว่า การศึกษาต้องเตรียมคนออกไปเป็น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knowledge worker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learning person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ไม่ว่าจะประกอบสัมมาชีพใด มนุษย์ในศตวรรษที่ 21 ต้องเป็น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learning person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knowledge worker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แม้แต่ชาวนาหรือเกษตรกรก็ต้องเป็น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learning person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และเป็น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lastRenderedPageBreak/>
        <w:t>knowledge worker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ดังนั้นทักษะสำคัญที่สุดของศตวรรษที่ 21 จึงเป็นทักษะของการเรียนรู้ 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learning skills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) ที่คนทุกคนต้องเรียนรู้ตั้งแต่ชั้นอนุบาลไปจนถึงมหาวิทยาลัย และตลอดชีวิต ด้วยเหตุนี้ทักษะดังกล่าวจึงเป็นที่สำคัญที่ผู้เรียนพึ่งมีในศตวรรษที่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21 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ซึ่งหลักสูตรต้องส่งเสริมให้ผู้เรียนได้มีทักษะที่สำคัญและสามารถใช้ชีวิตในสังคมศตวรรษที่21ได้อย่างมีประสิทธิภาพ โดยก่อนหน้านี้การศึกษาของเรายึดหลัก 3</w:t>
      </w:r>
      <w:proofErr w:type="spellStart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Rs</w:t>
      </w:r>
      <w:proofErr w:type="spellEnd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 เน้นการเรียนรู้เพื่อให้ผู้เรียน อ่านออก เขียนได้ และคิดเลขเป็น และต่อมาจึงได้เพิ่มเติมรวมหลัก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7Cs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ที่จำเป็นในศตวรรษที่ 21 เข้าด้วยกัน จึงกลายเป็นหลัก 3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Rs+7Cs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ดังนี้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  <w:cs/>
        </w:rPr>
        <w:t>3</w:t>
      </w:r>
      <w:proofErr w:type="spellStart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Rs</w:t>
      </w:r>
      <w:proofErr w:type="spellEnd"/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      Reading 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อ่านออก)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      Writing 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เขียนได้)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      Arithmetic 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คิดเลขเป็น)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u w:val="single"/>
        </w:rPr>
        <w:t>7Cs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Critical Thinking &amp; Problem solving</w:t>
      </w:r>
      <w:proofErr w:type="gramStart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</w:t>
      </w:r>
      <w:proofErr w:type="gram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ทักษะในการคิดวิเคราะห์ และการคิดแก้ปัญหา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Creativity &amp; Innovation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 ทักษะที่เมื่อคุณคิดวิเคราะห์แล้ว คุณต้องสร้างสรรค์ได้ หรือสร้างนวัตกรรมใหม่ได้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Cross-Cultural understanding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 ทักษะที่เน้นความเข้าใจในกลุ่มคนในหลากหลายชาติพันธ์ เพราะเราเป็นสังคมโลก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Collaboration Teamwork &amp; leadership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 ทักษะการทำงานเป็นทีม การแลกเปลี่ยนความคิดเห็น ความเป็นผู้นำ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Communication information and media literacy</w:t>
      </w:r>
      <w:proofErr w:type="gramStart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</w:t>
      </w:r>
      <w:proofErr w:type="gram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ความสามารถในการสื่อสาร ความสามารถในการรู้จักข้อมูล ความสามารถในการเข้าใจสื่อ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ICT literacy</w:t>
      </w:r>
      <w:proofErr w:type="gramStart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</w:t>
      </w:r>
      <w:proofErr w:type="gram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ความสามารถในยุคของ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Digital age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ความสามารถในการใช้เครื่องเทคโนโลยี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Career and Life skill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คือ ทักษะการใช้ชีวิต คือทักษะการประกอบอาชีพ หรืออาจหมายถึงความรับผิดชอบต่อหน้าที่และสังคมของเรา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firstLine="72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ดังที่ได้กล่าวมาเมื่อ</w:t>
      </w:r>
      <w:proofErr w:type="spellStart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นำกห</w:t>
      </w:r>
      <w:proofErr w:type="spell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ลัก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7Cs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มาจัดกลุ่ม สามารถแบ่งออกได้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3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ส่วน คือ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การพัฒนาด้านความคิด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Critical Thinking, Creativity, Collaboration,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Cross-Culture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ความสามารถความเข้าใจ (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Literacy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Information, Communication, Media,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ICT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·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ทักษะการใช้ชีวิต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(Life Skill)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 การมองโลกหรือคนอื่นรอบๆ เป็นศูนย์กลางไม่ใช่มองตนเองเป็นศูนย์กลาง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</w:pP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</w:pP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lastRenderedPageBreak/>
        <w:t>3.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 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สี่เสาหลักของการศึกษา (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The four Pillars of Education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)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     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พจนานุกรมศัพท์ศึกษาศาสตร์ฉบับราชบัณฑิตยสถานให้คำอธิบายไว้ว่าหมายถึงหลักสำคัญ ๔ ประการของการศึกษาตลอดชีวิตตามคำอธิบายของคณะกรรมาธิการนานาชาติว่าด้วยการศึกษาในคริสต์ศตวรรษที่ ๒๑ ซึ่งได้เสนอรายงานเรื่อง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 Learning : The Treasure Within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ต่อองค์การการศึกษา วิทยาศาสตร์ และวัฒนธรรมแห่งสหประชาชาติ 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UNESCO)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เมื่อ ค.ศ. ๑๙๙๕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ว่าการศึกษาตลอดชีวิตมีหลักสำคัญ ๔ ประการ ได้แก่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1.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  <w:t>การเรียนเพื่อรู้</w:t>
      </w:r>
      <w:proofErr w:type="gramStart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  (</w:t>
      </w:r>
      <w:proofErr w:type="gramEnd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Learning to Know)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การเรียนที่ผสมผสานความรู้ทั่วไปกับความรู้ใหม่ในเรื่องต่าง ๆ อย่างละเอียดลึกซึ้ง และยังหมายรวมถึงการฝึกฝนวิธีเรียนรู้ เพื่อนำไปใช้ประโยชน์ในการดำรงชีวิต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2.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  <w:t>การเรียนรู้เพื่อปฏิบัติได้จริง</w:t>
      </w:r>
      <w:proofErr w:type="gramStart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  (</w:t>
      </w:r>
      <w:proofErr w:type="gramEnd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Learning to Do)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การเรียนรู้ที่ช่วยให้บุคคลสามารถรับมือกับสถานการณ์ต่าง ๆ และปฏิบัติงานได้ เป็นการเรียนรู้โดยอาศัยประสบการณ์ต่าง ๆ ทางสังคมและในการประกอบอาชีพ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3.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  <w:t>การเรียนรู้เพื่อการอยู่ร่วมกัน</w:t>
      </w:r>
      <w:proofErr w:type="gramStart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  (</w:t>
      </w:r>
      <w:proofErr w:type="gramEnd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Learning to Live Together)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การเรียนรู้ที่ช่วยให้บุคคลเข้าใจผู้อื่นและตระหนักดีว่ามนุษย์เราจะต้องพึ่งพาอาศัยกันดำเนินโครงการร่วมกันและเรียนรู้วิธีแก้ปัญหาข้อขัดแย้งต่างๆ โดยตระหนักในความแตกต่างหลากหลายความเข้าใจอันดีต่อกันและสันติภาพว่าเป็นสิ่งล้ำค่าคู่ควรแก่การหวงแหน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4.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  <w:t>การเรียนรู้เพื่อชีวิต (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 xml:space="preserve">Learning to </w:t>
      </w:r>
      <w:proofErr w:type="gramStart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Be</w:t>
      </w:r>
      <w:proofErr w:type="gramEnd"/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shd w:val="clear" w:color="auto" w:fill="FFFFFF"/>
        </w:rPr>
        <w:t>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shd w:val="clear" w:color="auto" w:fill="FFFFFF"/>
          <w:cs/>
        </w:rPr>
        <w:t>การเรียนรู้ที่ช่วยให้บุคคลสามารถปรับปรุงบุคลิกภาพของตนได้ดีขึ้น ดำเนินงานต่างๆโดยอิสระยิ่งขึ้นมีดุลพินิจและความรับผิดชอบต่อตนเองมากขึ้นการจัดการศึกษาต้องไม่ละเลยศักยภาพในด้านใดด้านหนึ่งของบุคคล เช่น ความจำ การใช้เหตุผล ความซาบซึ้งในสุนทรียภาพ สมรรถนะทางร่างกาย ทักษะในการติดต่อสื่อสารกับผู้อื่น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กระบวนการพัฒนาหลักสูตร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              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การออกแบบหลักสูตร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(Curriculum Design)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เป็นขั้นตอนหนึ่งในกระบวนการพัฒนาหลักสูตร โดยในที่นี้จะนำเสนอแนวคิดและรูปแบบกระบวนการพัฒนาหลักสูตรของไท</w:t>
      </w:r>
      <w:proofErr w:type="spellStart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เลอร์</w:t>
      </w:r>
      <w:proofErr w:type="spellEnd"/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</w:t>
      </w:r>
      <w:proofErr w:type="spellStart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Tyler’sModel</w:t>
      </w:r>
      <w:proofErr w:type="spellEnd"/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Curriculum Development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) เพื่อใช้ในการอธิบายเนื่องจากเป็นรูปแบบที่สามารถทำความเข้าใจได้ง่ายที่สุด และนำไปใช้เป็นแนวคิดในการพัฒนาหลักสูตรต่างๆได้เป็นอย่างดี</w:t>
      </w:r>
    </w:p>
    <w:p w:rsidR="008F7B82" w:rsidRPr="008F7B82" w:rsidRDefault="008F7B82" w:rsidP="008F7B82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Ralph Tyler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ได้ให้แนวคิดในการพัฒนาหลักสูตรว่าหลักสูตรที่ดีจำเป็นต้องตอบคำถามพื้นฐานจำนวน 4 ข้อ คือ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1)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What is the purpose of the education?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(มีจุดมุ่งหมายทางการศึกษาอะไรบ้างที่โรงเรียนควรจะแสวงหา)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2)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What educational experiences will attain the purposes?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มีประสบการณ์ทางการศึกษาอะไรบ้างที่โรงเรียนควรจัดขึ้นเพื่อช่วยให้บรรลุถึงจุดมุ่งหมายที่กำหนดไว้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3)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How can these experiences be effectively organized?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(จะจัดประสบการณ์ทางการศึกษาอย่างไร จึงจะทำให้การสอนมีประสิทธิภาพ)</w:t>
      </w:r>
      <w:bookmarkStart w:id="0" w:name="_GoBack"/>
      <w:bookmarkEnd w:id="0"/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lastRenderedPageBreak/>
        <w:t>4)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How can we determine when the purposes are met?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(๔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.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จะประเมินผลประสิทธิภาพของประสบการณ์ในการเรียนอย่างไร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จึงจะตัดสินได้ว่าบรรลุถึงจุดมุ่งหมายที่กำหนดไว้)นอกจากคำถามดังกล่าวแล้ว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Tyler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ยังได้เสนอหลักการในการพัฒนาหลักสูตรว่าประกอบด้วย 4 หลักการ คือ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1)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Planning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(การวางแผนของหลักสูตร)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2)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Design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(การออกแบบหลักสูตร)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3)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Organize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(การจักการหลักสูตร)</w:t>
      </w:r>
    </w:p>
    <w:p w:rsidR="008F7B82" w:rsidRPr="008F7B82" w:rsidRDefault="008F7B82" w:rsidP="008F7B82">
      <w:pPr>
        <w:shd w:val="clear" w:color="auto" w:fill="FFFFFF"/>
        <w:spacing w:after="0" w:line="240" w:lineRule="auto"/>
        <w:ind w:hanging="360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4)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    </w:t>
      </w:r>
      <w:r w:rsidRPr="008F7B82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Evaluation 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(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การประเมินหลักสูตร</w:t>
      </w:r>
      <w:r w:rsidRPr="008F7B82">
        <w:rPr>
          <w:rFonts w:ascii="Angsana New" w:eastAsia="Times New Roman" w:hAnsi="Angsana New" w:cs="Angsana New"/>
          <w:color w:val="333333"/>
          <w:sz w:val="32"/>
          <w:szCs w:val="32"/>
        </w:rPr>
        <w:t>)</w:t>
      </w:r>
    </w:p>
    <w:p w:rsidR="00EB1E94" w:rsidRDefault="00EB1E94"/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82"/>
    <w:rsid w:val="008F7B82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2014-11-17T14:30:00Z</dcterms:created>
  <dcterms:modified xsi:type="dcterms:W3CDTF">2014-11-17T14:32:00Z</dcterms:modified>
</cp:coreProperties>
</file>